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Instrucciones: </w:t>
            </w:r>
            <w:r w:rsidDel="00000000" w:rsidR="00000000" w:rsidRPr="00000000">
              <w:rPr>
                <w:rtl w:val="0"/>
              </w:rPr>
              <w:t xml:space="preserve">Analiza las dos imágenes que aparecen debajo. Hay 12 diferencias entre ellas. En 5 minutos trata de encontrar tantas como puedas. Márcales cuando las encuentres.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8162925" cy="2771775"/>
            <wp:effectExtent b="0" l="0" r="0" t="0"/>
            <wp:docPr descr="seedif08.jpg" id="1" name="image2.jpg"/>
            <a:graphic>
              <a:graphicData uri="http://schemas.openxmlformats.org/drawingml/2006/picture">
                <pic:pic>
                  <pic:nvPicPr>
                    <pic:cNvPr descr="seedif08.jpg" id="0" name="image2.jpg"/>
                    <pic:cNvPicPr preferRelativeResize="0"/>
                  </pic:nvPicPr>
                  <pic:blipFill>
                    <a:blip r:embed="rId5"/>
                    <a:srcRect b="0" l="0" r="0" t="15160"/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© 2017 Generation: You Employed, Inc.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  <w:t xml:space="preserve">BSM-OD - Ficha de participante 1 - Juego de orientación al detalle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