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a9b4c221ab56d8f3246d4809b60818db5096f2d"/>
    <w:p>
      <w:pPr>
        <w:pStyle w:val="Heading1"/>
      </w:pPr>
      <w:r>
        <w:t xml:space="preserve">Master Compliance Overview — Biogas &amp; Biodiesel</w:t>
      </w:r>
    </w:p>
    <w:p>
      <w:pPr>
        <w:pStyle w:val="FirstParagraph"/>
      </w:pPr>
      <w:r>
        <w:t xml:space="preserve">This document provides a consolidated analysis of the key regulatory, quality, and safety obligations governing the dual operation of a food waste-to-biogas facility and a Used Cooking Oil (UCO)-to-biodiesel facility within the UK and EU. It serves as a master reference for strategic planning, operational management, and audit readiness.</w:t>
      </w:r>
    </w:p>
    <w:bookmarkStart w:id="20" w:name="key-insights"/>
    <w:p>
      <w:pPr>
        <w:pStyle w:val="Heading3"/>
      </w:pPr>
      <w:r>
        <w:rPr>
          <w:b/>
          <w:bCs/>
        </w:rPr>
        <w:t xml:space="preserve">Key Insights</w:t>
      </w:r>
    </w:p>
    <w:p>
      <w:pPr>
        <w:pStyle w:val="Compact"/>
        <w:numPr>
          <w:ilvl w:val="0"/>
          <w:numId w:val="1001"/>
        </w:numPr>
      </w:pPr>
      <w:r>
        <w:rPr>
          <w:b/>
          <w:bCs/>
        </w:rPr>
        <w:t xml:space="preserve">Dual-Loop Complexity:</w:t>
      </w:r>
      <w:r>
        <w:t xml:space="preserve"> </w:t>
      </w:r>
      <w:r>
        <w:t xml:space="preserve">The project operates two distinct but interconnected value chains, each with its own specific regulatory nexus. The biogas loop is dominated by UK-centric environmental permitting, waste handling (ABP), and process safety (DSEAR). The biodiesel loop is heavily influenced by EU/UK market access rules (RTFO, RED II/III), supply chain integrity (ISCC), and product quality (EN 14214).</w:t>
      </w:r>
    </w:p>
    <w:p>
      <w:pPr>
        <w:pStyle w:val="Compact"/>
        <w:numPr>
          <w:ilvl w:val="0"/>
          <w:numId w:val="1001"/>
        </w:numPr>
      </w:pPr>
      <w:r>
        <w:rPr>
          <w:b/>
          <w:bCs/>
        </w:rPr>
        <w:t xml:space="preserve">Feedstock Integrity is Paramount:</w:t>
      </w:r>
      <w:r>
        <w:t xml:space="preserve"> </w:t>
      </w:r>
      <w:r>
        <w:t xml:space="preserve">For both loops, the classification and traceability of feedstock are critical compliance points. For biogas, this means strict adherence to Animal By-Products (ABP) regulations to manage biological risk. For biodiesel, this involves rigorous ISCC certification and mass balance accounting to prevent fraud (e.g., adulteration with virgin oils) and secure the economic benefit of</w:t>
      </w:r>
      <w:r>
        <w:t xml:space="preserve"> </w:t>
      </w:r>
      <w:r>
        <w:t xml:space="preserve">“</w:t>
      </w:r>
      <w:r>
        <w:t xml:space="preserve">double-counting</w:t>
      </w:r>
      <w:r>
        <w:t xml:space="preserve">”</w:t>
      </w:r>
      <w:r>
        <w:t xml:space="preserve"> </w:t>
      </w:r>
      <w:r>
        <w:t xml:space="preserve">under the RTFO.</w:t>
      </w:r>
    </w:p>
    <w:p>
      <w:pPr>
        <w:pStyle w:val="Compact"/>
        <w:numPr>
          <w:ilvl w:val="0"/>
          <w:numId w:val="1001"/>
        </w:numPr>
      </w:pPr>
      <w:r>
        <w:rPr>
          <w:b/>
          <w:bCs/>
        </w:rPr>
        <w:t xml:space="preserve">Safety as a Prerequisite:</w:t>
      </w:r>
      <w:r>
        <w:t xml:space="preserve"> </w:t>
      </w:r>
      <w:r>
        <w:t xml:space="preserve">The presence of methane (biogas) and flammable chemicals like methanol (biodiesel) makes compliance with DSEAR (Dangerous Substances and Explosive Atmospheres Regulations) non-negotiable. Hazardous area classification (zoning) and the use of ATEX-certified equipment are foundational safety and permitting requirements.</w:t>
      </w:r>
    </w:p>
    <w:p>
      <w:pPr>
        <w:pStyle w:val="Compact"/>
        <w:numPr>
          <w:ilvl w:val="0"/>
          <w:numId w:val="1001"/>
        </w:numPr>
      </w:pPr>
      <w:r>
        <w:rPr>
          <w:b/>
          <w:bCs/>
        </w:rPr>
        <w:t xml:space="preserve">“</w:t>
      </w:r>
      <w:r>
        <w:rPr>
          <w:b/>
          <w:bCs/>
        </w:rPr>
        <w:t xml:space="preserve">End-of-Waste</w:t>
      </w:r>
      <w:r>
        <w:rPr>
          <w:b/>
          <w:bCs/>
        </w:rPr>
        <w:t xml:space="preserve">”</w:t>
      </w:r>
      <w:r>
        <w:rPr>
          <w:b/>
          <w:bCs/>
        </w:rPr>
        <w:t xml:space="preserve"> </w:t>
      </w:r>
      <w:r>
        <w:rPr>
          <w:b/>
          <w:bCs/>
        </w:rPr>
        <w:t xml:space="preserve">is a Commercial Goal:</w:t>
      </w:r>
      <w:r>
        <w:t xml:space="preserve"> </w:t>
      </w:r>
      <w:r>
        <w:t xml:space="preserve">Achieving quality standards like</w:t>
      </w:r>
      <w:r>
        <w:t xml:space="preserve"> </w:t>
      </w:r>
      <w:r>
        <w:rPr>
          <w:b/>
          <w:bCs/>
        </w:rPr>
        <w:t xml:space="preserve">PAS 110</w:t>
      </w:r>
      <w:r>
        <w:t xml:space="preserve"> </w:t>
      </w:r>
      <w:r>
        <w:t xml:space="preserve">for digestate and</w:t>
      </w:r>
      <w:r>
        <w:t xml:space="preserve"> </w:t>
      </w:r>
      <w:r>
        <w:rPr>
          <w:b/>
          <w:bCs/>
        </w:rPr>
        <w:t xml:space="preserve">EN 14214</w:t>
      </w:r>
      <w:r>
        <w:t xml:space="preserve"> </w:t>
      </w:r>
      <w:r>
        <w:t xml:space="preserve">for biodiesel is not just a compliance task; it is a commercial necessity. These certifications transform a</w:t>
      </w:r>
      <w:r>
        <w:t xml:space="preserve"> </w:t>
      </w:r>
      <w:r>
        <w:t xml:space="preserve">‘</w:t>
      </w:r>
      <w:r>
        <w:t xml:space="preserve">waste</w:t>
      </w:r>
      <w:r>
        <w:t xml:space="preserve">’</w:t>
      </w:r>
      <w:r>
        <w:t xml:space="preserve"> </w:t>
      </w:r>
      <w:r>
        <w:t xml:space="preserve">material into a marketable product (biofertiliser and transport fuel, respectively), unlocking revenue streams.</w:t>
      </w:r>
    </w:p>
    <w:p>
      <w:r>
        <w:pict>
          <v:rect style="width:0;height:1.5pt" o:hralign="center" o:hrstd="t" o:hr="t"/>
        </w:pict>
      </w:r>
    </w:p>
    <w:bookmarkEnd w:id="20"/>
    <w:bookmarkStart w:id="23" w:name="lifecycle-compliance-map"/>
    <w:p>
      <w:pPr>
        <w:pStyle w:val="Heading2"/>
      </w:pPr>
      <w:r>
        <w:rPr>
          <w:b/>
          <w:bCs/>
        </w:rPr>
        <w:t xml:space="preserve">1. Lifecycle Compliance Map</w:t>
      </w:r>
    </w:p>
    <w:p>
      <w:pPr>
        <w:pStyle w:val="FirstParagraph"/>
      </w:pPr>
      <w:r>
        <w:t xml:space="preserve">The following diagram illustrates the two primary operational loops and maps the critical compliance checkpoints at each stage.</w:t>
      </w:r>
    </w:p>
    <w:p>
      <w:pPr>
        <w:pStyle w:val="BodyText"/>
      </w:pPr>
      <w:r>
        <w:t xml:space="preserve">Diagram showing two parallel lifecycles: Food Waste to Biogas/Biofertiliser and Used Cooking Oil to Biodiesel. Each stage has associated regulations.</w:t>
      </w:r>
      <w:r>
        <w:t xml:space="preserve"> </w:t>
      </w:r>
      <w:r>
        <w:rPr>
          <w:i/>
          <w:iCs/>
        </w:rPr>
        <w:t xml:space="preserve">(Conceptual Diagram: A visual representation of the table below)</w:t>
      </w:r>
    </w:p>
    <w:bookmarkStart w:id="21" w:name="Xb28a09d74a52d11e6969c72f8a8437ff43dbc2a"/>
    <w:p>
      <w:pPr>
        <w:pStyle w:val="Heading3"/>
      </w:pPr>
      <w:r>
        <w:rPr>
          <w:b/>
          <w:bCs/>
        </w:rPr>
        <w:t xml:space="preserve">Biogas Lifecycle: Food Waste to Energy &amp; Biofertiliser</w:t>
      </w:r>
    </w:p>
    <w:tbl>
      <w:tblPr>
        <w:tblStyle w:val="Table"/>
        <w:tblW w:type="pct" w:w="5000"/>
        <w:jc w:val="left"/>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Stage</w:t>
            </w:r>
          </w:p>
        </w:tc>
        <w:tc>
          <w:tcPr/>
          <w:p>
            <w:pPr>
              <w:pStyle w:val="Compact"/>
              <w:jc w:val="left"/>
            </w:pPr>
            <w:r>
              <w:t xml:space="preserve">Activities</w:t>
            </w:r>
          </w:p>
        </w:tc>
        <w:tc>
          <w:tcPr/>
          <w:p>
            <w:pPr>
              <w:pStyle w:val="Compact"/>
              <w:jc w:val="left"/>
            </w:pPr>
            <w:r>
              <w:t xml:space="preserve">Key Regulations &amp; Standards</w:t>
            </w:r>
          </w:p>
        </w:tc>
        <w:tc>
          <w:tcPr/>
          <w:p>
            <w:pPr>
              <w:pStyle w:val="Compact"/>
              <w:jc w:val="left"/>
            </w:pPr>
            <w:r>
              <w:t xml:space="preserve">Primary Focus</w:t>
            </w:r>
          </w:p>
        </w:tc>
      </w:tr>
      <w:tr>
        <w:tc>
          <w:tcPr/>
          <w:p>
            <w:pPr>
              <w:pStyle w:val="Compact"/>
              <w:jc w:val="left"/>
            </w:pPr>
            <w:r>
              <w:rPr>
                <w:b/>
                <w:bCs/>
              </w:rPr>
              <w:t xml:space="preserve">1. Feedstock Sourcing</w:t>
            </w:r>
          </w:p>
        </w:tc>
        <w:tc>
          <w:tcPr/>
          <w:p>
            <w:pPr>
              <w:pStyle w:val="Compact"/>
              <w:jc w:val="left"/>
            </w:pPr>
            <w:r>
              <w:t xml:space="preserve">Collection of food waste from commercial/municipal sources.</w:t>
            </w:r>
          </w:p>
        </w:tc>
        <w:tc>
          <w:tcPr/>
          <w:p>
            <w:pPr>
              <w:pStyle w:val="Compact"/>
              <w:jc w:val="left"/>
            </w:pPr>
            <w:r>
              <w:t xml:space="preserve">- Waste</w:t>
            </w:r>
            <w:r>
              <w:t xml:space="preserve"> </w:t>
            </w:r>
            <w:r>
              <w:rPr>
                <w:rStyle w:val="VerbatimChar"/>
              </w:rPr>
              <w:t xml:space="preserve">Duty of Care</w:t>
            </w:r>
            <w:r>
              <w:t xml:space="preserve"> </w:t>
            </w:r>
            <w:r>
              <w:t xml:space="preserve"> </w:t>
            </w:r>
            <w:r>
              <w:t xml:space="preserve">- EWC / LoW Code Classification</w:t>
            </w:r>
            <w:r>
              <w:t xml:space="preserve"> </w:t>
            </w:r>
            <w:r>
              <w:t xml:space="preserve"> </w:t>
            </w:r>
            <w:r>
              <w:t xml:space="preserve">-</w:t>
            </w:r>
            <w:r>
              <w:t xml:space="preserve"> </w:t>
            </w:r>
            <w:r>
              <w:rPr>
                <w:b/>
                <w:bCs/>
              </w:rPr>
              <w:t xml:space="preserve">Animal By-Products (ABP) Regulations</w:t>
            </w:r>
          </w:p>
        </w:tc>
        <w:tc>
          <w:tcPr/>
          <w:p>
            <w:pPr>
              <w:pStyle w:val="Compact"/>
              <w:jc w:val="left"/>
            </w:pPr>
            <w:r>
              <w:t xml:space="preserve">Legal transfer, waste classification, and ensuring only permitted ABP categories (primarily Cat 3) are accepted.</w:t>
            </w:r>
          </w:p>
        </w:tc>
      </w:tr>
      <w:tr>
        <w:tc>
          <w:tcPr/>
          <w:p>
            <w:pPr>
              <w:pStyle w:val="Compact"/>
              <w:jc w:val="left"/>
            </w:pPr>
            <w:r>
              <w:rPr>
                <w:b/>
                <w:bCs/>
              </w:rPr>
              <w:t xml:space="preserve">2. Transport &amp; Reception</w:t>
            </w:r>
          </w:p>
        </w:tc>
        <w:tc>
          <w:tcPr/>
          <w:p>
            <w:pPr>
              <w:pStyle w:val="Compact"/>
              <w:jc w:val="left"/>
            </w:pPr>
            <w:r>
              <w:t xml:space="preserve">Transport to facility, weigh-in, and initial storage.</w:t>
            </w:r>
          </w:p>
        </w:tc>
        <w:tc>
          <w:tcPr/>
          <w:p>
            <w:pPr>
              <w:pStyle w:val="Compact"/>
              <w:jc w:val="left"/>
            </w:pPr>
            <w:r>
              <w:t xml:space="preserve">- Waste Carrier Registration</w:t>
            </w:r>
            <w:r>
              <w:t xml:space="preserve"> </w:t>
            </w:r>
            <w:r>
              <w:t xml:space="preserve"> </w:t>
            </w:r>
            <w:r>
              <w:t xml:space="preserve">-</w:t>
            </w:r>
            <w:r>
              <w:t xml:space="preserve"> </w:t>
            </w:r>
            <w:r>
              <w:rPr>
                <w:b/>
                <w:bCs/>
              </w:rPr>
              <w:t xml:space="preserve">Environmental Permit</w:t>
            </w:r>
            <w:r>
              <w:t xml:space="preserve"> </w:t>
            </w:r>
            <w:r>
              <w:t xml:space="preserve"> </w:t>
            </w:r>
            <w:r>
              <w:t xml:space="preserve">- ABP Regulations (Site Approval &amp; Segregation)</w:t>
            </w:r>
          </w:p>
        </w:tc>
        <w:tc>
          <w:tcPr/>
          <w:p>
            <w:pPr>
              <w:pStyle w:val="Compact"/>
              <w:jc w:val="left"/>
            </w:pPr>
            <w:r>
              <w:t xml:space="preserve">Preventing contamination, ensuring carrier legitimacy, and maintaining</w:t>
            </w:r>
            <w:r>
              <w:t xml:space="preserve"> </w:t>
            </w:r>
            <w:r>
              <w:t xml:space="preserve">“</w:t>
            </w:r>
            <w:r>
              <w:t xml:space="preserve">unclean</w:t>
            </w:r>
            <w:r>
              <w:t xml:space="preserve">”</w:t>
            </w:r>
            <w:r>
              <w:t xml:space="preserve"> </w:t>
            </w:r>
            <w:r>
              <w:t xml:space="preserve">vs</w:t>
            </w:r>
            <w:r>
              <w:t xml:space="preserve"> </w:t>
            </w:r>
            <w:r>
              <w:t xml:space="preserve">“</w:t>
            </w:r>
            <w:r>
              <w:t xml:space="preserve">clean</w:t>
            </w:r>
            <w:r>
              <w:t xml:space="preserve">”</w:t>
            </w:r>
            <w:r>
              <w:t xml:space="preserve"> </w:t>
            </w:r>
            <w:r>
              <w:t xml:space="preserve">area separation.</w:t>
            </w:r>
          </w:p>
        </w:tc>
      </w:tr>
      <w:tr>
        <w:tc>
          <w:tcPr/>
          <w:p>
            <w:pPr>
              <w:pStyle w:val="Compact"/>
              <w:jc w:val="left"/>
            </w:pPr>
            <w:r>
              <w:rPr>
                <w:b/>
                <w:bCs/>
              </w:rPr>
              <w:t xml:space="preserve">3. Anaerobic Digestion</w:t>
            </w:r>
          </w:p>
        </w:tc>
        <w:tc>
          <w:tcPr/>
          <w:p>
            <w:pPr>
              <w:pStyle w:val="Compact"/>
              <w:jc w:val="left"/>
            </w:pPr>
            <w:r>
              <w:t xml:space="preserve">Feedstock processing in digesters.</w:t>
            </w:r>
          </w:p>
        </w:tc>
        <w:tc>
          <w:tcPr/>
          <w:p>
            <w:pPr>
              <w:pStyle w:val="Compact"/>
              <w:jc w:val="left"/>
            </w:pPr>
            <w:r>
              <w:t xml:space="preserve">-</w:t>
            </w:r>
            <w:r>
              <w:t xml:space="preserve"> </w:t>
            </w:r>
            <w:r>
              <w:rPr>
                <w:b/>
                <w:bCs/>
              </w:rPr>
              <w:t xml:space="preserve">Environmental Permit</w:t>
            </w:r>
            <w:r>
              <w:t xml:space="preserve"> </w:t>
            </w:r>
            <w:r>
              <w:t xml:space="preserve"> </w:t>
            </w:r>
            <w:r>
              <w:t xml:space="preserve">-</w:t>
            </w:r>
            <w:r>
              <w:t xml:space="preserve"> </w:t>
            </w:r>
            <w:r>
              <w:rPr>
                <w:b/>
                <w:bCs/>
              </w:rPr>
              <w:t xml:space="preserve">DSEAR</w:t>
            </w:r>
            <w:r>
              <w:t xml:space="preserve"> </w:t>
            </w:r>
            <w:r>
              <w:t xml:space="preserve">(Zone 0/1 inside tanks)</w:t>
            </w:r>
            <w:r>
              <w:t xml:space="preserve"> </w:t>
            </w:r>
            <w:r>
              <w:t xml:space="preserve"> </w:t>
            </w:r>
            <w:r>
              <w:t xml:space="preserve">- PAS 110 (Process Monitoring)</w:t>
            </w:r>
            <w:r>
              <w:t xml:space="preserve"> </w:t>
            </w:r>
            <w:r>
              <w:t xml:space="preserve"> </w:t>
            </w:r>
            <w:r>
              <w:t xml:space="preserve">- HSWA 1974</w:t>
            </w:r>
          </w:p>
        </w:tc>
        <w:tc>
          <w:tcPr/>
          <w:p>
            <w:pPr>
              <w:pStyle w:val="Compact"/>
              <w:jc w:val="left"/>
            </w:pPr>
            <w:r>
              <w:t xml:space="preserve">Operational safety, process control (time/temp), and managing explosive atmospheres.</w:t>
            </w:r>
          </w:p>
        </w:tc>
      </w:tr>
      <w:tr>
        <w:tc>
          <w:tcPr/>
          <w:p>
            <w:pPr>
              <w:pStyle w:val="Compact"/>
              <w:jc w:val="left"/>
            </w:pPr>
            <w:r>
              <w:rPr>
                <w:b/>
                <w:bCs/>
              </w:rPr>
              <w:t xml:space="preserve">4. Energy Conversion</w:t>
            </w:r>
          </w:p>
        </w:tc>
        <w:tc>
          <w:tcPr/>
          <w:p>
            <w:pPr>
              <w:pStyle w:val="Compact"/>
              <w:jc w:val="left"/>
            </w:pPr>
            <w:r>
              <w:t xml:space="preserve">Biogas cleaning, storage, and use in CHP or upgrading.</w:t>
            </w:r>
          </w:p>
        </w:tc>
        <w:tc>
          <w:tcPr/>
          <w:p>
            <w:pPr>
              <w:pStyle w:val="Compact"/>
              <w:jc w:val="left"/>
            </w:pPr>
            <w:r>
              <w:t xml:space="preserve">-</w:t>
            </w:r>
            <w:r>
              <w:t xml:space="preserve"> </w:t>
            </w:r>
            <w:r>
              <w:rPr>
                <w:b/>
                <w:bCs/>
              </w:rPr>
              <w:t xml:space="preserve">DSEAR</w:t>
            </w:r>
            <w:r>
              <w:t xml:space="preserve"> </w:t>
            </w:r>
            <w:r>
              <w:t xml:space="preserve">(Zoning around gas equipment)</w:t>
            </w:r>
            <w:r>
              <w:t xml:space="preserve"> </w:t>
            </w:r>
            <w:r>
              <w:t xml:space="preserve"> </w:t>
            </w:r>
            <w:r>
              <w:t xml:space="preserve">-</w:t>
            </w:r>
            <w:r>
              <w:t xml:space="preserve"> </w:t>
            </w:r>
            <w:r>
              <w:rPr>
                <w:b/>
                <w:bCs/>
              </w:rPr>
              <w:t xml:space="preserve">ENA EREC G99</w:t>
            </w:r>
            <w:r>
              <w:t xml:space="preserve"> </w:t>
            </w:r>
            <w:r>
              <w:t xml:space="preserve">(Electricity Grid Export)</w:t>
            </w:r>
            <w:r>
              <w:t xml:space="preserve"> </w:t>
            </w:r>
            <w:r>
              <w:t xml:space="preserve"> </w:t>
            </w:r>
            <w:r>
              <w:t xml:space="preserve">-</w:t>
            </w:r>
            <w:r>
              <w:t xml:space="preserve"> </w:t>
            </w:r>
            <w:r>
              <w:rPr>
                <w:b/>
                <w:bCs/>
              </w:rPr>
              <w:t xml:space="preserve">GS(M)R</w:t>
            </w:r>
            <w:r>
              <w:t xml:space="preserve"> </w:t>
            </w:r>
            <w:r>
              <w:t xml:space="preserve">(Biomethane Grid Injection)</w:t>
            </w:r>
          </w:p>
        </w:tc>
        <w:tc>
          <w:tcPr/>
          <w:p>
            <w:pPr>
              <w:pStyle w:val="Compact"/>
              <w:jc w:val="left"/>
            </w:pPr>
            <w:r>
              <w:t xml:space="preserve">Grid compliance, equipment safety (ATEX), and managing high-pressure gas systems.</w:t>
            </w:r>
          </w:p>
        </w:tc>
      </w:tr>
      <w:tr>
        <w:tc>
          <w:tcPr/>
          <w:p>
            <w:pPr>
              <w:pStyle w:val="Compact"/>
              <w:jc w:val="left"/>
            </w:pPr>
            <w:r>
              <w:rPr>
                <w:b/>
                <w:bCs/>
              </w:rPr>
              <w:t xml:space="preserve">5. Product Management</w:t>
            </w:r>
          </w:p>
        </w:tc>
        <w:tc>
          <w:tcPr/>
          <w:p>
            <w:pPr>
              <w:pStyle w:val="Compact"/>
              <w:jc w:val="left"/>
            </w:pPr>
            <w:r>
              <w:t xml:space="preserve">Storage and quality testing of digestate.</w:t>
            </w:r>
          </w:p>
        </w:tc>
        <w:tc>
          <w:tcPr/>
          <w:p>
            <w:pPr>
              <w:pStyle w:val="Compact"/>
              <w:jc w:val="left"/>
            </w:pPr>
            <w:r>
              <w:t xml:space="preserve">-</w:t>
            </w:r>
            <w:r>
              <w:t xml:space="preserve"> </w:t>
            </w:r>
            <w:r>
              <w:rPr>
                <w:b/>
                <w:bCs/>
              </w:rPr>
              <w:t xml:space="preserve">PAS 110</w:t>
            </w:r>
            <w:r>
              <w:t xml:space="preserve"> </w:t>
            </w:r>
            <w:r>
              <w:t xml:space="preserve">/ Biofertiliser Certification</w:t>
            </w:r>
            <w:r>
              <w:t xml:space="preserve"> </w:t>
            </w:r>
            <w:r>
              <w:t xml:space="preserve"> </w:t>
            </w:r>
            <w:r>
              <w:t xml:space="preserve">- Environmental Permit</w:t>
            </w:r>
          </w:p>
        </w:tc>
        <w:tc>
          <w:tcPr/>
          <w:p>
            <w:pPr>
              <w:pStyle w:val="Compact"/>
              <w:jc w:val="left"/>
            </w:pPr>
            <w:r>
              <w:t xml:space="preserve">Achieving</w:t>
            </w:r>
            <w:r>
              <w:t xml:space="preserve"> </w:t>
            </w:r>
            <w:r>
              <w:t xml:space="preserve">“</w:t>
            </w:r>
            <w:r>
              <w:t xml:space="preserve">end-of-waste</w:t>
            </w:r>
            <w:r>
              <w:t xml:space="preserve">”</w:t>
            </w:r>
            <w:r>
              <w:t xml:space="preserve"> </w:t>
            </w:r>
            <w:r>
              <w:t xml:space="preserve">status by meeting stringent quality and stability limits. Preventing contamination.</w:t>
            </w:r>
          </w:p>
        </w:tc>
      </w:tr>
      <w:tr>
        <w:tc>
          <w:tcPr/>
          <w:p>
            <w:pPr>
              <w:pStyle w:val="Compact"/>
              <w:jc w:val="left"/>
            </w:pPr>
            <w:r>
              <w:rPr>
                <w:b/>
                <w:bCs/>
              </w:rPr>
              <w:t xml:space="preserve">6. Distribution &amp; Sale</w:t>
            </w:r>
          </w:p>
        </w:tc>
        <w:tc>
          <w:tcPr/>
          <w:p>
            <w:pPr>
              <w:pStyle w:val="Compact"/>
              <w:jc w:val="left"/>
            </w:pPr>
            <w:r>
              <w:t xml:space="preserve">Sale of electricity/biomethane; supply of biofertiliser.</w:t>
            </w:r>
          </w:p>
        </w:tc>
        <w:tc>
          <w:tcPr/>
          <w:p>
            <w:pPr>
              <w:pStyle w:val="Compact"/>
              <w:jc w:val="left"/>
            </w:pPr>
            <w:r>
              <w:t xml:space="preserve">- Energy Offtake Agreements</w:t>
            </w:r>
            <w:r>
              <w:t xml:space="preserve"> </w:t>
            </w:r>
            <w:r>
              <w:t xml:space="preserve"> </w:t>
            </w:r>
            <w:r>
              <w:t xml:space="preserve">- PAS 110 User Information Sheets</w:t>
            </w:r>
          </w:p>
        </w:tc>
        <w:tc>
          <w:tcPr/>
          <w:p>
            <w:pPr>
              <w:pStyle w:val="Compact"/>
              <w:jc w:val="left"/>
            </w:pPr>
            <w:r>
              <w:t xml:space="preserve">Fulfilling contractual obligations and providing end-users with correct product information.</w:t>
            </w:r>
          </w:p>
        </w:tc>
      </w:tr>
    </w:tbl>
    <w:bookmarkEnd w:id="21"/>
    <w:bookmarkStart w:id="22" w:name="Xe3deaa9247951ddf41e5842c62d0626fff021c7"/>
    <w:p>
      <w:pPr>
        <w:pStyle w:val="Heading3"/>
      </w:pPr>
      <w:r>
        <w:rPr>
          <w:b/>
          <w:bCs/>
        </w:rPr>
        <w:t xml:space="preserve">Biodiesel Lifecycle: UCO to Transport Fuel</w:t>
      </w:r>
    </w:p>
    <w:tbl>
      <w:tblPr>
        <w:tblStyle w:val="Table"/>
        <w:tblW w:type="pct" w:w="5000"/>
        <w:jc w:val="left"/>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Stage</w:t>
            </w:r>
          </w:p>
        </w:tc>
        <w:tc>
          <w:tcPr/>
          <w:p>
            <w:pPr>
              <w:pStyle w:val="Compact"/>
              <w:jc w:val="left"/>
            </w:pPr>
            <w:r>
              <w:t xml:space="preserve">Activities</w:t>
            </w:r>
          </w:p>
        </w:tc>
        <w:tc>
          <w:tcPr/>
          <w:p>
            <w:pPr>
              <w:pStyle w:val="Compact"/>
              <w:jc w:val="left"/>
            </w:pPr>
            <w:r>
              <w:t xml:space="preserve">Key Regulations &amp; Standards</w:t>
            </w:r>
          </w:p>
        </w:tc>
        <w:tc>
          <w:tcPr/>
          <w:p>
            <w:pPr>
              <w:pStyle w:val="Compact"/>
              <w:jc w:val="left"/>
            </w:pPr>
            <w:r>
              <w:t xml:space="preserve">Primary Focus</w:t>
            </w:r>
          </w:p>
        </w:tc>
      </w:tr>
      <w:tr>
        <w:tc>
          <w:tcPr/>
          <w:p>
            <w:pPr>
              <w:pStyle w:val="Compact"/>
              <w:jc w:val="left"/>
            </w:pPr>
            <w:r>
              <w:rPr>
                <w:b/>
                <w:bCs/>
              </w:rPr>
              <w:t xml:space="preserve">1. Feedstock Sourcing</w:t>
            </w:r>
          </w:p>
        </w:tc>
        <w:tc>
          <w:tcPr/>
          <w:p>
            <w:pPr>
              <w:pStyle w:val="Compact"/>
              <w:jc w:val="left"/>
            </w:pPr>
            <w:r>
              <w:t xml:space="preserve">Sourcing UCO from certified suppliers (collectors).</w:t>
            </w:r>
          </w:p>
        </w:tc>
        <w:tc>
          <w:tcPr/>
          <w:p>
            <w:pPr>
              <w:pStyle w:val="Compact"/>
              <w:jc w:val="left"/>
            </w:pPr>
            <w:r>
              <w:t xml:space="preserve">- Waste</w:t>
            </w:r>
            <w:r>
              <w:t xml:space="preserve"> </w:t>
            </w:r>
            <w:r>
              <w:rPr>
                <w:rStyle w:val="VerbatimChar"/>
              </w:rPr>
              <w:t xml:space="preserve">Duty of Care</w:t>
            </w:r>
            <w:r>
              <w:t xml:space="preserve"> </w:t>
            </w:r>
            <w:r>
              <w:t xml:space="preserve"> </w:t>
            </w:r>
            <w:r>
              <w:t xml:space="preserve">-</w:t>
            </w:r>
            <w:r>
              <w:t xml:space="preserve"> </w:t>
            </w:r>
            <w:r>
              <w:rPr>
                <w:b/>
                <w:bCs/>
              </w:rPr>
              <w:t xml:space="preserve">ISCC Certification</w:t>
            </w:r>
            <w:r>
              <w:t xml:space="preserve"> </w:t>
            </w:r>
            <w:r>
              <w:t xml:space="preserve">(Supplier Verification)</w:t>
            </w:r>
            <w:r>
              <w:t xml:space="preserve"> </w:t>
            </w:r>
            <w:r>
              <w:t xml:space="preserve"> </w:t>
            </w:r>
            <w:r>
              <w:t xml:space="preserve">- Cross-border Shipment (Annex VII, if applicable)</w:t>
            </w:r>
          </w:p>
        </w:tc>
        <w:tc>
          <w:tcPr/>
          <w:p>
            <w:pPr>
              <w:pStyle w:val="Compact"/>
              <w:jc w:val="left"/>
            </w:pPr>
            <w:r>
              <w:rPr>
                <w:b/>
                <w:bCs/>
              </w:rPr>
              <w:t xml:space="preserve">Fraud Prevention</w:t>
            </w:r>
            <w:r>
              <w:t xml:space="preserve">. Verifying supplier certification and chain of custody. Due diligence on Points of Origin (PoO).</w:t>
            </w:r>
          </w:p>
        </w:tc>
      </w:tr>
      <w:tr>
        <w:tc>
          <w:tcPr/>
          <w:p>
            <w:pPr>
              <w:pStyle w:val="Compact"/>
              <w:jc w:val="left"/>
            </w:pPr>
            <w:r>
              <w:rPr>
                <w:b/>
                <w:bCs/>
              </w:rPr>
              <w:t xml:space="preserve">2. Transport &amp; Reception</w:t>
            </w:r>
          </w:p>
        </w:tc>
        <w:tc>
          <w:tcPr/>
          <w:p>
            <w:pPr>
              <w:pStyle w:val="Compact"/>
              <w:jc w:val="left"/>
            </w:pPr>
            <w:r>
              <w:t xml:space="preserve">Transport to facility, weigh-in, and mass balance entry.</w:t>
            </w:r>
          </w:p>
        </w:tc>
        <w:tc>
          <w:tcPr/>
          <w:p>
            <w:pPr>
              <w:pStyle w:val="Compact"/>
              <w:jc w:val="left"/>
            </w:pPr>
            <w:r>
              <w:t xml:space="preserve">- Waste Carrier Registration</w:t>
            </w:r>
            <w:r>
              <w:t xml:space="preserve"> </w:t>
            </w:r>
            <w:r>
              <w:t xml:space="preserve"> </w:t>
            </w:r>
            <w:r>
              <w:t xml:space="preserve">- ADR Transport Regulations (UN 3082)</w:t>
            </w:r>
            <w:r>
              <w:t xml:space="preserve"> </w:t>
            </w:r>
            <w:r>
              <w:t xml:space="preserve"> </w:t>
            </w:r>
            <w:r>
              <w:t xml:space="preserve">-</w:t>
            </w:r>
            <w:r>
              <w:t xml:space="preserve"> </w:t>
            </w:r>
            <w:r>
              <w:rPr>
                <w:b/>
                <w:bCs/>
              </w:rPr>
              <w:t xml:space="preserve">ISCC Mass Balance System</w:t>
            </w:r>
          </w:p>
        </w:tc>
        <w:tc>
          <w:tcPr/>
          <w:p>
            <w:pPr>
              <w:pStyle w:val="Compact"/>
              <w:jc w:val="left"/>
            </w:pPr>
            <w:r>
              <w:t xml:space="preserve">Safe transport of materials and accurate accounting of incoming certified feedstock.</w:t>
            </w:r>
          </w:p>
        </w:tc>
      </w:tr>
      <w:tr>
        <w:tc>
          <w:tcPr/>
          <w:p>
            <w:pPr>
              <w:pStyle w:val="Compact"/>
              <w:jc w:val="left"/>
            </w:pPr>
            <w:r>
              <w:rPr>
                <w:b/>
                <w:bCs/>
              </w:rPr>
              <w:t xml:space="preserve">3. Pre-treatment &amp; Processing</w:t>
            </w:r>
          </w:p>
        </w:tc>
        <w:tc>
          <w:tcPr/>
          <w:p>
            <w:pPr>
              <w:pStyle w:val="Compact"/>
              <w:jc w:val="left"/>
            </w:pPr>
            <w:r>
              <w:t xml:space="preserve">UCO filtering and transesterification process.</w:t>
            </w:r>
          </w:p>
        </w:tc>
        <w:tc>
          <w:tcPr/>
          <w:p>
            <w:pPr>
              <w:pStyle w:val="Compact"/>
              <w:jc w:val="left"/>
            </w:pPr>
            <w:r>
              <w:t xml:space="preserve">-</w:t>
            </w:r>
            <w:r>
              <w:t xml:space="preserve"> </w:t>
            </w:r>
            <w:r>
              <w:rPr>
                <w:b/>
                <w:bCs/>
              </w:rPr>
              <w:t xml:space="preserve">Environmental Permit</w:t>
            </w:r>
            <w:r>
              <w:t xml:space="preserve"> </w:t>
            </w:r>
            <w:r>
              <w:t xml:space="preserve"> </w:t>
            </w:r>
            <w:r>
              <w:t xml:space="preserve">-</w:t>
            </w:r>
            <w:r>
              <w:t xml:space="preserve"> </w:t>
            </w:r>
            <w:r>
              <w:rPr>
                <w:b/>
                <w:bCs/>
              </w:rPr>
              <w:t xml:space="preserve">REACH / CLP</w:t>
            </w:r>
            <w:r>
              <w:t xml:space="preserve"> </w:t>
            </w:r>
            <w:r>
              <w:t xml:space="preserve">(Methanol, Catalysts)</w:t>
            </w:r>
            <w:r>
              <w:t xml:space="preserve"> </w:t>
            </w:r>
            <w:r>
              <w:t xml:space="preserve"> </w:t>
            </w:r>
            <w:r>
              <w:t xml:space="preserve">- DSEAR (Flammable chemicals)</w:t>
            </w:r>
            <w:r>
              <w:t xml:space="preserve"> </w:t>
            </w:r>
            <w:r>
              <w:t xml:space="preserve"> </w:t>
            </w:r>
            <w:r>
              <w:t xml:space="preserve">- HSWA 1974</w:t>
            </w:r>
          </w:p>
        </w:tc>
        <w:tc>
          <w:tcPr/>
          <w:p>
            <w:pPr>
              <w:pStyle w:val="Compact"/>
              <w:jc w:val="left"/>
            </w:pPr>
            <w:r>
              <w:t xml:space="preserve">Chemical safety, emissions control (VOCs), and managing fire/explosion risks from methanol.</w:t>
            </w:r>
          </w:p>
        </w:tc>
      </w:tr>
      <w:tr>
        <w:tc>
          <w:tcPr/>
          <w:p>
            <w:pPr>
              <w:pStyle w:val="Compact"/>
              <w:jc w:val="left"/>
            </w:pPr>
            <w:r>
              <w:rPr>
                <w:b/>
                <w:bCs/>
              </w:rPr>
              <w:t xml:space="preserve">4. Product Finishing</w:t>
            </w:r>
          </w:p>
        </w:tc>
        <w:tc>
          <w:tcPr/>
          <w:p>
            <w:pPr>
              <w:pStyle w:val="Compact"/>
              <w:jc w:val="left"/>
            </w:pPr>
            <w:r>
              <w:t xml:space="preserve">Biodiesel washing, drying, and by-product separation (glycerine).</w:t>
            </w:r>
          </w:p>
        </w:tc>
        <w:tc>
          <w:tcPr/>
          <w:p>
            <w:pPr>
              <w:pStyle w:val="Compact"/>
              <w:jc w:val="left"/>
            </w:pPr>
            <w:r>
              <w:t xml:space="preserve">- Environmental Permit</w:t>
            </w:r>
            <w:r>
              <w:t xml:space="preserve"> </w:t>
            </w:r>
            <w:r>
              <w:t xml:space="preserve"> </w:t>
            </w:r>
            <w:r>
              <w:t xml:space="preserve">- Waste Management (for glycerine)</w:t>
            </w:r>
          </w:p>
        </w:tc>
        <w:tc>
          <w:tcPr/>
          <w:p>
            <w:pPr>
              <w:pStyle w:val="Compact"/>
              <w:jc w:val="left"/>
            </w:pPr>
            <w:r>
              <w:t xml:space="preserve">Ensuring product purity and proper handling of all output streams.</w:t>
            </w:r>
          </w:p>
        </w:tc>
      </w:tr>
      <w:tr>
        <w:tc>
          <w:tcPr/>
          <w:p>
            <w:pPr>
              <w:pStyle w:val="Compact"/>
              <w:jc w:val="left"/>
            </w:pPr>
            <w:r>
              <w:rPr>
                <w:b/>
                <w:bCs/>
              </w:rPr>
              <w:t xml:space="preserve">5. Quality &amp; Storage</w:t>
            </w:r>
          </w:p>
        </w:tc>
        <w:tc>
          <w:tcPr/>
          <w:p>
            <w:pPr>
              <w:pStyle w:val="Compact"/>
              <w:jc w:val="left"/>
            </w:pPr>
            <w:r>
              <w:t xml:space="preserve">Batch testing against standards and storage.</w:t>
            </w:r>
          </w:p>
        </w:tc>
        <w:tc>
          <w:tcPr/>
          <w:p>
            <w:pPr>
              <w:pStyle w:val="Compact"/>
              <w:jc w:val="left"/>
            </w:pPr>
            <w:r>
              <w:t xml:space="preserve">-</w:t>
            </w:r>
            <w:r>
              <w:t xml:space="preserve"> </w:t>
            </w:r>
            <w:r>
              <w:rPr>
                <w:b/>
                <w:bCs/>
              </w:rPr>
              <w:t xml:space="preserve">EN 14214</w:t>
            </w:r>
            <w:r>
              <w:t xml:space="preserve"> </w:t>
            </w:r>
            <w:r>
              <w:t xml:space="preserve">(Quality Specification)</w:t>
            </w:r>
            <w:r>
              <w:t xml:space="preserve"> </w:t>
            </w:r>
            <w:r>
              <w:t xml:space="preserve"> </w:t>
            </w:r>
            <w:r>
              <w:t xml:space="preserve">- DSEAR (Zone 2 around tanks)</w:t>
            </w:r>
          </w:p>
        </w:tc>
        <w:tc>
          <w:tcPr/>
          <w:p>
            <w:pPr>
              <w:pStyle w:val="Compact"/>
              <w:jc w:val="left"/>
            </w:pPr>
            <w:r>
              <w:t xml:space="preserve">Rigorous quality control to produce a Certificate of Analysis (CoA) for every batch.</w:t>
            </w:r>
          </w:p>
        </w:tc>
      </w:tr>
      <w:tr>
        <w:tc>
          <w:tcPr/>
          <w:p>
            <w:pPr>
              <w:pStyle w:val="Compact"/>
              <w:jc w:val="left"/>
            </w:pPr>
            <w:r>
              <w:rPr>
                <w:b/>
                <w:bCs/>
              </w:rPr>
              <w:t xml:space="preserve">6. Distribution &amp; Sale</w:t>
            </w:r>
          </w:p>
        </w:tc>
        <w:tc>
          <w:tcPr/>
          <w:p>
            <w:pPr>
              <w:pStyle w:val="Compact"/>
              <w:jc w:val="left"/>
            </w:pPr>
            <w:r>
              <w:t xml:space="preserve">Sale of biodiesel to obligated fuel suppliers.</w:t>
            </w:r>
          </w:p>
        </w:tc>
        <w:tc>
          <w:tcPr/>
          <w:p>
            <w:pPr>
              <w:pStyle w:val="Compact"/>
              <w:jc w:val="left"/>
            </w:pPr>
            <w:r>
              <w:t xml:space="preserve">-</w:t>
            </w:r>
            <w:r>
              <w:t xml:space="preserve"> </w:t>
            </w:r>
            <w:r>
              <w:rPr>
                <w:b/>
                <w:bCs/>
              </w:rPr>
              <w:t xml:space="preserve">UK RTFO</w:t>
            </w:r>
            <w:r>
              <w:t xml:space="preserve"> </w:t>
            </w:r>
            <w:r>
              <w:t xml:space="preserve">(Claiming RTFCs)</w:t>
            </w:r>
            <w:r>
              <w:t xml:space="preserve"> </w:t>
            </w:r>
            <w:r>
              <w:t xml:space="preserve"> </w:t>
            </w:r>
            <w:r>
              <w:t xml:space="preserve">-</w:t>
            </w:r>
            <w:r>
              <w:t xml:space="preserve"> </w:t>
            </w:r>
            <w:r>
              <w:rPr>
                <w:b/>
                <w:bCs/>
              </w:rPr>
              <w:t xml:space="preserve">EU RED II / III</w:t>
            </w:r>
            <w:r>
              <w:t xml:space="preserve"> </w:t>
            </w:r>
            <w:r>
              <w:t xml:space="preserve">(Sustainability Proof)</w:t>
            </w:r>
            <w:r>
              <w:t xml:space="preserve"> </w:t>
            </w:r>
            <w:r>
              <w:t xml:space="preserve"> </w:t>
            </w:r>
            <w:r>
              <w:t xml:space="preserve">-</w:t>
            </w:r>
            <w:r>
              <w:t xml:space="preserve"> </w:t>
            </w:r>
            <w:r>
              <w:rPr>
                <w:b/>
                <w:bCs/>
              </w:rPr>
              <w:t xml:space="preserve">HMRC Excise Duty</w:t>
            </w:r>
          </w:p>
        </w:tc>
        <w:tc>
          <w:tcPr/>
          <w:p>
            <w:pPr>
              <w:pStyle w:val="Compact"/>
              <w:jc w:val="left"/>
            </w:pPr>
            <w:r>
              <w:t xml:space="preserve">Proving sustainability to claim certificates (double-counting), fulfilling tax obligations, and market compliance.</w:t>
            </w:r>
          </w:p>
        </w:tc>
      </w:tr>
    </w:tbl>
    <w:p>
      <w:r>
        <w:pict>
          <v:rect style="width:0;height:1.5pt" o:hralign="center" o:hrstd="t" o:hr="t"/>
        </w:pict>
      </w:r>
    </w:p>
    <w:bookmarkEnd w:id="22"/>
    <w:bookmarkEnd w:id="23"/>
    <w:bookmarkStart w:id="28" w:name="Xc2e75a2911094c65add3645ce100161fd8f832d"/>
    <w:p>
      <w:pPr>
        <w:pStyle w:val="Heading2"/>
      </w:pPr>
      <w:r>
        <w:rPr>
          <w:b/>
          <w:bCs/>
        </w:rPr>
        <w:t xml:space="preserve">2. Detailed Regulatory &amp; Certification Requirements</w:t>
      </w:r>
    </w:p>
    <w:p>
      <w:pPr>
        <w:pStyle w:val="FirstParagraph"/>
      </w:pPr>
      <w:r>
        <w:t xml:space="preserve">This section details the core compliance obligations identified in the lifecycle map.</w:t>
      </w:r>
    </w:p>
    <w:bookmarkStart w:id="24" w:name="facility-wide-foundational-compliance"/>
    <w:p>
      <w:pPr>
        <w:pStyle w:val="Heading3"/>
      </w:pPr>
      <w:r>
        <w:rPr>
          <w:b/>
          <w:bCs/>
        </w:rPr>
        <w:t xml:space="preserve">Facility-Wide &amp; Foundational Compliance</w:t>
      </w:r>
    </w:p>
    <w:tbl>
      <w:tblPr>
        <w:tblStyle w:val="Table"/>
        <w:tblW w:type="pct" w:w="5000"/>
        <w:jc w:val="left"/>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Regulation / Act</w:t>
            </w:r>
          </w:p>
        </w:tc>
        <w:tc>
          <w:tcPr/>
          <w:p>
            <w:pPr>
              <w:pStyle w:val="Compact"/>
              <w:jc w:val="left"/>
            </w:pPr>
            <w:r>
              <w:t xml:space="preserve">Description</w:t>
            </w:r>
          </w:p>
        </w:tc>
        <w:tc>
          <w:tcPr/>
          <w:p>
            <w:pPr>
              <w:pStyle w:val="Compact"/>
              <w:jc w:val="left"/>
            </w:pPr>
            <w:r>
              <w:t xml:space="preserve">Key Obligations</w:t>
            </w:r>
          </w:p>
        </w:tc>
      </w:tr>
      <w:tr>
        <w:tc>
          <w:tcPr/>
          <w:p>
            <w:pPr>
              <w:pStyle w:val="Compact"/>
              <w:jc w:val="left"/>
            </w:pPr>
            <w:r>
              <w:rPr>
                <w:b/>
                <w:bCs/>
              </w:rPr>
              <w:t xml:space="preserve">Environmental Permit</w:t>
            </w:r>
          </w:p>
        </w:tc>
        <w:tc>
          <w:tcPr/>
          <w:p>
            <w:pPr>
              <w:pStyle w:val="Compact"/>
              <w:jc w:val="left"/>
            </w:pPr>
            <w:r>
              <w:t xml:space="preserve">Legal document from the Environment Agency (or NRW/SEPA) setting operational limits.</w:t>
            </w:r>
          </w:p>
        </w:tc>
        <w:tc>
          <w:tcPr/>
          <w:p>
            <w:pPr>
              <w:pStyle w:val="Compact"/>
              <w:jc w:val="left"/>
            </w:pPr>
            <w:r>
              <w:t xml:space="preserve">-</w:t>
            </w:r>
            <w:r>
              <w:t xml:space="preserve"> </w:t>
            </w:r>
            <w:r>
              <w:rPr>
                <w:b/>
                <w:bCs/>
              </w:rPr>
              <w:t xml:space="preserve">Pathway:</w:t>
            </w:r>
            <w:r>
              <w:t xml:space="preserve"> </w:t>
            </w:r>
            <w:r>
              <w:t xml:space="preserve">Standard Rules (e.g., SR2021 No 7 for biogas) if criteria met; otherwise, a full Bespoke application is required. Biodiesel will likely require a Bespoke permit.</w:t>
            </w:r>
            <w:r>
              <w:t xml:space="preserve"> </w:t>
            </w:r>
            <w:r>
              <w:t xml:space="preserve"> </w:t>
            </w:r>
            <w:r>
              <w:t xml:space="preserve">-</w:t>
            </w:r>
            <w:r>
              <w:t xml:space="preserve"> </w:t>
            </w:r>
            <w:r>
              <w:rPr>
                <w:b/>
                <w:bCs/>
              </w:rPr>
              <w:t xml:space="preserve">Management Systems:</w:t>
            </w:r>
            <w:r>
              <w:t xml:space="preserve"> </w:t>
            </w:r>
            <w:r>
              <w:t xml:space="preserve">Must have a written Environmental Management System (EMS).</w:t>
            </w:r>
            <w:r>
              <w:t xml:space="preserve"> </w:t>
            </w:r>
            <w:r>
              <w:t xml:space="preserve"> </w:t>
            </w:r>
            <w:r>
              <w:t xml:space="preserve">-</w:t>
            </w:r>
            <w:r>
              <w:t xml:space="preserve"> </w:t>
            </w:r>
            <w:r>
              <w:rPr>
                <w:b/>
                <w:bCs/>
              </w:rPr>
              <w:t xml:space="preserve">Plans:</w:t>
            </w:r>
            <w:r>
              <w:t xml:space="preserve"> </w:t>
            </w:r>
            <w:r>
              <w:t xml:space="preserve">Requires approved Odour, Noise, Fire Prevention, and Accident Management Plans.</w:t>
            </w:r>
            <w:r>
              <w:t xml:space="preserve"> </w:t>
            </w:r>
            <w:r>
              <w:t xml:space="preserve"> </w:t>
            </w:r>
            <w:r>
              <w:t xml:space="preserve">-</w:t>
            </w:r>
            <w:r>
              <w:t xml:space="preserve"> </w:t>
            </w:r>
            <w:r>
              <w:rPr>
                <w:b/>
                <w:bCs/>
              </w:rPr>
              <w:t xml:space="preserve">Compliance:</w:t>
            </w:r>
            <w:r>
              <w:t xml:space="preserve"> </w:t>
            </w:r>
            <w:r>
              <w:t xml:space="preserve">Adherence to all permit conditions, monitoring, and reporting schedules.</w:t>
            </w:r>
          </w:p>
        </w:tc>
      </w:tr>
      <w:tr>
        <w:tc>
          <w:tcPr/>
          <w:p>
            <w:pPr>
              <w:pStyle w:val="Compact"/>
              <w:jc w:val="left"/>
            </w:pPr>
            <w:r>
              <w:rPr>
                <w:b/>
                <w:bCs/>
              </w:rPr>
              <w:t xml:space="preserve">Health &amp; Safety at Work Act 1974 (HSWA)</w:t>
            </w:r>
          </w:p>
        </w:tc>
        <w:tc>
          <w:tcPr/>
          <w:p>
            <w:pPr>
              <w:pStyle w:val="Compact"/>
              <w:jc w:val="left"/>
            </w:pPr>
            <w:r>
              <w:t xml:space="preserve">The foundational UK law for workplace health, safety, and welfare.</w:t>
            </w:r>
          </w:p>
        </w:tc>
        <w:tc>
          <w:tcPr/>
          <w:p>
            <w:pPr>
              <w:pStyle w:val="Compact"/>
              <w:jc w:val="left"/>
            </w:pPr>
            <w:r>
              <w:t xml:space="preserve">-</w:t>
            </w:r>
            <w:r>
              <w:t xml:space="preserve"> </w:t>
            </w:r>
            <w:r>
              <w:rPr>
                <w:b/>
                <w:bCs/>
              </w:rPr>
              <w:t xml:space="preserve">Policy:</w:t>
            </w:r>
            <w:r>
              <w:t xml:space="preserve"> </w:t>
            </w:r>
            <w:r>
              <w:t xml:space="preserve">A written H&amp;S policy is mandatory (&gt;5 employees).</w:t>
            </w:r>
            <w:r>
              <w:t xml:space="preserve"> </w:t>
            </w:r>
            <w:r>
              <w:t xml:space="preserve"> </w:t>
            </w:r>
            <w:r>
              <w:t xml:space="preserve">-</w:t>
            </w:r>
            <w:r>
              <w:t xml:space="preserve"> </w:t>
            </w:r>
            <w:r>
              <w:rPr>
                <w:b/>
                <w:bCs/>
              </w:rPr>
              <w:t xml:space="preserve">Risk Assessments:</w:t>
            </w:r>
            <w:r>
              <w:t xml:space="preserve"> </w:t>
            </w:r>
            <w:r>
              <w:t xml:space="preserve">Must conduct assessments for all work activities (under MHSWR 1999).</w:t>
            </w:r>
            <w:r>
              <w:t xml:space="preserve"> </w:t>
            </w:r>
            <w:r>
              <w:t xml:space="preserve"> </w:t>
            </w:r>
            <w:r>
              <w:t xml:space="preserve">-</w:t>
            </w:r>
            <w:r>
              <w:t xml:space="preserve"> </w:t>
            </w:r>
            <w:r>
              <w:rPr>
                <w:b/>
                <w:bCs/>
              </w:rPr>
              <w:t xml:space="preserve">Responsibilities:</w:t>
            </w:r>
            <w:r>
              <w:t xml:space="preserve"> </w:t>
            </w:r>
            <w:r>
              <w:t xml:space="preserve">Clearly defined roles for management and employees.</w:t>
            </w:r>
          </w:p>
        </w:tc>
      </w:tr>
      <w:tr>
        <w:tc>
          <w:tcPr/>
          <w:p>
            <w:pPr>
              <w:pStyle w:val="Compact"/>
              <w:jc w:val="left"/>
            </w:pPr>
            <w:r>
              <w:rPr>
                <w:b/>
                <w:bCs/>
              </w:rPr>
              <w:t xml:space="preserve">Duty of Care (Waste)</w:t>
            </w:r>
          </w:p>
        </w:tc>
        <w:tc>
          <w:tcPr/>
          <w:p>
            <w:pPr>
              <w:pStyle w:val="Compact"/>
              <w:jc w:val="left"/>
            </w:pPr>
            <w:r>
              <w:t xml:space="preserve">Legal responsibility for waste from production to disposal.</w:t>
            </w:r>
          </w:p>
        </w:tc>
        <w:tc>
          <w:tcPr/>
          <w:p>
            <w:pPr>
              <w:pStyle w:val="Compact"/>
              <w:jc w:val="left"/>
            </w:pPr>
            <w:r>
              <w:t xml:space="preserve">-</w:t>
            </w:r>
            <w:r>
              <w:t xml:space="preserve"> </w:t>
            </w:r>
            <w:r>
              <w:rPr>
                <w:b/>
                <w:bCs/>
              </w:rPr>
              <w:t xml:space="preserve">Containment:</w:t>
            </w:r>
            <w:r>
              <w:t xml:space="preserve"> </w:t>
            </w:r>
            <w:r>
              <w:t xml:space="preserve">Store waste securely to prevent escape.</w:t>
            </w:r>
            <w:r>
              <w:t xml:space="preserve"> </w:t>
            </w:r>
            <w:r>
              <w:t xml:space="preserve"> </w:t>
            </w:r>
            <w:r>
              <w:t xml:space="preserve">-</w:t>
            </w:r>
            <w:r>
              <w:t xml:space="preserve"> </w:t>
            </w:r>
            <w:r>
              <w:rPr>
                <w:b/>
                <w:bCs/>
              </w:rPr>
              <w:t xml:space="preserve">Transfer:</w:t>
            </w:r>
            <w:r>
              <w:t xml:space="preserve"> </w:t>
            </w:r>
            <w:r>
              <w:t xml:space="preserve">Only use registered waste carriers and permitted sites.</w:t>
            </w:r>
            <w:r>
              <w:t xml:space="preserve"> </w:t>
            </w:r>
            <w:r>
              <w:t xml:space="preserve"> </w:t>
            </w:r>
            <w:r>
              <w:t xml:space="preserve">-</w:t>
            </w:r>
            <w:r>
              <w:t xml:space="preserve"> </w:t>
            </w:r>
            <w:r>
              <w:rPr>
                <w:b/>
                <w:bCs/>
              </w:rPr>
              <w:t xml:space="preserve">Documentation:</w:t>
            </w:r>
            <w:r>
              <w:t xml:space="preserve"> </w:t>
            </w:r>
            <w:r>
              <w:t xml:space="preserve">Complete Waste Transfer Notes (WTNs) and retain for 2 years (3 for hazardous).</w:t>
            </w:r>
          </w:p>
        </w:tc>
      </w:tr>
      <w:tr>
        <w:tc>
          <w:tcPr/>
          <w:p>
            <w:pPr>
              <w:pStyle w:val="Compact"/>
              <w:jc w:val="left"/>
            </w:pPr>
            <w:r>
              <w:rPr>
                <w:b/>
                <w:bCs/>
              </w:rPr>
              <w:t xml:space="preserve">REACH &amp; CLP</w:t>
            </w:r>
          </w:p>
        </w:tc>
        <w:tc>
          <w:tcPr/>
          <w:p>
            <w:pPr>
              <w:pStyle w:val="Compact"/>
              <w:jc w:val="left"/>
            </w:pPr>
            <w:r>
              <w:t xml:space="preserve">EU/UK regulations for chemical safety (Registration, Classification, Labelling).</w:t>
            </w:r>
          </w:p>
        </w:tc>
        <w:tc>
          <w:tcPr/>
          <w:p>
            <w:pPr>
              <w:pStyle w:val="Compact"/>
              <w:jc w:val="left"/>
            </w:pPr>
            <w:r>
              <w:t xml:space="preserve">-</w:t>
            </w:r>
            <w:r>
              <w:t xml:space="preserve"> </w:t>
            </w:r>
            <w:r>
              <w:rPr>
                <w:b/>
                <w:bCs/>
              </w:rPr>
              <w:t xml:space="preserve">Role:</w:t>
            </w:r>
            <w:r>
              <w:t xml:space="preserve"> </w:t>
            </w:r>
            <w:r>
              <w:t xml:space="preserve">As a</w:t>
            </w:r>
            <w:r>
              <w:t xml:space="preserve"> </w:t>
            </w:r>
            <w:r>
              <w:t xml:space="preserve">“</w:t>
            </w:r>
            <w:r>
              <w:t xml:space="preserve">Downstream User,</w:t>
            </w:r>
            <w:r>
              <w:t xml:space="preserve">”</w:t>
            </w:r>
            <w:r>
              <w:t xml:space="preserve"> </w:t>
            </w:r>
            <w:r>
              <w:t xml:space="preserve">the primary duty is to follow Safety Data Sheet (SDS) instructions.</w:t>
            </w:r>
            <w:r>
              <w:t xml:space="preserve"> </w:t>
            </w:r>
            <w:r>
              <w:t xml:space="preserve"> </w:t>
            </w:r>
            <w:r>
              <w:t xml:space="preserve">-</w:t>
            </w:r>
            <w:r>
              <w:t xml:space="preserve"> </w:t>
            </w:r>
            <w:r>
              <w:rPr>
                <w:b/>
                <w:bCs/>
              </w:rPr>
              <w:t xml:space="preserve">Inventory:</w:t>
            </w:r>
            <w:r>
              <w:t xml:space="preserve"> </w:t>
            </w:r>
            <w:r>
              <w:t xml:space="preserve">Maintain a full inventory of all chemicals (Methanol, catalysts, lab reagents).</w:t>
            </w:r>
            <w:r>
              <w:t xml:space="preserve"> </w:t>
            </w:r>
            <w:r>
              <w:t xml:space="preserve"> </w:t>
            </w:r>
            <w:r>
              <w:t xml:space="preserve">-</w:t>
            </w:r>
            <w:r>
              <w:t xml:space="preserve"> </w:t>
            </w:r>
            <w:r>
              <w:rPr>
                <w:b/>
                <w:bCs/>
              </w:rPr>
              <w:t xml:space="preserve">Labelling:</w:t>
            </w:r>
            <w:r>
              <w:t xml:space="preserve"> </w:t>
            </w:r>
            <w:r>
              <w:t xml:space="preserve">Ensure all containers are correctly labelled with CLP pictograms and information.</w:t>
            </w:r>
          </w:p>
        </w:tc>
      </w:tr>
    </w:tbl>
    <w:bookmarkEnd w:id="24"/>
    <w:bookmarkStart w:id="25" w:name="process-safety"/>
    <w:p>
      <w:pPr>
        <w:pStyle w:val="Heading3"/>
      </w:pPr>
      <w:r>
        <w:rPr>
          <w:b/>
          <w:bCs/>
        </w:rPr>
        <w:t xml:space="preserve">Process Safety</w:t>
      </w:r>
    </w:p>
    <w:tbl>
      <w:tblPr>
        <w:tblStyle w:val="Table"/>
        <w:tblW w:type="pct" w:w="5000"/>
        <w:jc w:val="left"/>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Regulation</w:t>
            </w:r>
          </w:p>
        </w:tc>
        <w:tc>
          <w:tcPr/>
          <w:p>
            <w:pPr>
              <w:pStyle w:val="Compact"/>
              <w:jc w:val="left"/>
            </w:pPr>
            <w:r>
              <w:t xml:space="preserve">Description</w:t>
            </w:r>
          </w:p>
        </w:tc>
        <w:tc>
          <w:tcPr/>
          <w:p>
            <w:pPr>
              <w:pStyle w:val="Compact"/>
              <w:jc w:val="left"/>
            </w:pPr>
            <w:r>
              <w:t xml:space="preserve">Key Obligations</w:t>
            </w:r>
          </w:p>
        </w:tc>
      </w:tr>
      <w:tr>
        <w:tc>
          <w:tcPr/>
          <w:p>
            <w:pPr>
              <w:pStyle w:val="Compact"/>
              <w:jc w:val="left"/>
            </w:pPr>
            <w:r>
              <w:rPr>
                <w:b/>
                <w:bCs/>
              </w:rPr>
              <w:t xml:space="preserve">DSEAR 2002</w:t>
            </w:r>
          </w:p>
        </w:tc>
        <w:tc>
          <w:tcPr/>
          <w:p>
            <w:pPr>
              <w:pStyle w:val="Compact"/>
              <w:jc w:val="left"/>
            </w:pPr>
            <w:r>
              <w:t xml:space="preserve">Management of risks from dangerous substances and explosive atmospheres.</w:t>
            </w:r>
          </w:p>
        </w:tc>
        <w:tc>
          <w:tcPr/>
          <w:p>
            <w:pPr>
              <w:pStyle w:val="Compact"/>
              <w:jc w:val="left"/>
            </w:pPr>
            <w:r>
              <w:t xml:space="preserve">-</w:t>
            </w:r>
            <w:r>
              <w:t xml:space="preserve"> </w:t>
            </w:r>
            <w:r>
              <w:rPr>
                <w:b/>
                <w:bCs/>
              </w:rPr>
              <w:t xml:space="preserve">Risk Assessment:</w:t>
            </w:r>
            <w:r>
              <w:t xml:space="preserve"> </w:t>
            </w:r>
            <w:r>
              <w:t xml:space="preserve">Identify flammable substances (biogas, methanol) and ignition sources.</w:t>
            </w:r>
            <w:r>
              <w:t xml:space="preserve"> </w:t>
            </w:r>
            <w:r>
              <w:t xml:space="preserve"> </w:t>
            </w:r>
            <w:r>
              <w:t xml:space="preserve">-</w:t>
            </w:r>
            <w:r>
              <w:t xml:space="preserve"> </w:t>
            </w:r>
            <w:r>
              <w:rPr>
                <w:b/>
                <w:bCs/>
              </w:rPr>
              <w:t xml:space="preserve">Area Classification (Zoning):</w:t>
            </w:r>
            <w:r>
              <w:t xml:space="preserve"> </w:t>
            </w:r>
            <w:r>
              <w:t xml:space="preserve">Create and maintain drawings defining Zones 0, 1, and 2 based on risk.</w:t>
            </w:r>
            <w:r>
              <w:t xml:space="preserve"> </w:t>
            </w:r>
            <w:r>
              <w:t xml:space="preserve"> </w:t>
            </w:r>
            <w:r>
              <w:t xml:space="preserve">-</w:t>
            </w:r>
            <w:r>
              <w:t xml:space="preserve"> </w:t>
            </w:r>
            <w:r>
              <w:rPr>
                <w:b/>
                <w:bCs/>
              </w:rPr>
              <w:t xml:space="preserve">Control Measures:</w:t>
            </w:r>
            <w:r>
              <w:t xml:space="preserve"> </w:t>
            </w:r>
            <w:r>
              <w:t xml:space="preserve">Use appropriate ATEX-rated equipment, implement a</w:t>
            </w:r>
            <w:r>
              <w:t xml:space="preserve"> </w:t>
            </w:r>
            <w:r>
              <w:t xml:space="preserve">“</w:t>
            </w:r>
            <w:r>
              <w:t xml:space="preserve">Permit to Work</w:t>
            </w:r>
            <w:r>
              <w:t xml:space="preserve">”</w:t>
            </w:r>
            <w:r>
              <w:t xml:space="preserve"> </w:t>
            </w:r>
            <w:r>
              <w:t xml:space="preserve">system for hot work, and ensure effective ventilation and gas detection.</w:t>
            </w:r>
          </w:p>
        </w:tc>
      </w:tr>
    </w:tbl>
    <w:bookmarkEnd w:id="25"/>
    <w:bookmarkStart w:id="26" w:name="feedstock-supply-chain"/>
    <w:p>
      <w:pPr>
        <w:pStyle w:val="Heading3"/>
      </w:pPr>
      <w:r>
        <w:rPr>
          <w:b/>
          <w:bCs/>
        </w:rPr>
        <w:t xml:space="preserve">Feedstock &amp; Supply Chain</w:t>
      </w:r>
    </w:p>
    <w:tbl>
      <w:tblPr>
        <w:tblStyle w:val="Table"/>
        <w:tblW w:type="pct" w:w="5000"/>
        <w:jc w:val="left"/>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Regulation / Standard</w:t>
            </w:r>
          </w:p>
        </w:tc>
        <w:tc>
          <w:tcPr/>
          <w:p>
            <w:pPr>
              <w:pStyle w:val="Compact"/>
              <w:jc w:val="left"/>
            </w:pPr>
            <w:r>
              <w:t xml:space="preserve">Description</w:t>
            </w:r>
          </w:p>
        </w:tc>
        <w:tc>
          <w:tcPr/>
          <w:p>
            <w:pPr>
              <w:pStyle w:val="Compact"/>
              <w:jc w:val="left"/>
            </w:pPr>
            <w:r>
              <w:t xml:space="preserve">Key Obligations</w:t>
            </w:r>
          </w:p>
        </w:tc>
      </w:tr>
      <w:tr>
        <w:tc>
          <w:tcPr/>
          <w:p>
            <w:pPr>
              <w:pStyle w:val="Compact"/>
              <w:jc w:val="left"/>
            </w:pPr>
            <w:r>
              <w:rPr>
                <w:b/>
                <w:bCs/>
              </w:rPr>
              <w:t xml:space="preserve">ABP Regulations</w:t>
            </w:r>
          </w:p>
        </w:tc>
        <w:tc>
          <w:tcPr/>
          <w:p>
            <w:pPr>
              <w:pStyle w:val="Compact"/>
              <w:jc w:val="left"/>
            </w:pPr>
            <w:r>
              <w:t xml:space="preserve">Governs the handling and use of Animal By-Products to prevent disease.</w:t>
            </w:r>
          </w:p>
        </w:tc>
        <w:tc>
          <w:tcPr/>
          <w:p>
            <w:pPr>
              <w:pStyle w:val="Compact"/>
              <w:jc w:val="left"/>
            </w:pPr>
            <w:r>
              <w:t xml:space="preserve">-</w:t>
            </w:r>
            <w:r>
              <w:t xml:space="preserve"> </w:t>
            </w:r>
            <w:r>
              <w:rPr>
                <w:b/>
                <w:bCs/>
              </w:rPr>
              <w:t xml:space="preserve">APHA Approval:</w:t>
            </w:r>
            <w:r>
              <w:t xml:space="preserve"> </w:t>
            </w:r>
            <w:r>
              <w:t xml:space="preserve">The biogas facility must be approved by APHA to process ABPs.</w:t>
            </w:r>
            <w:r>
              <w:t xml:space="preserve"> </w:t>
            </w:r>
            <w:r>
              <w:t xml:space="preserve"> </w:t>
            </w:r>
            <w:r>
              <w:t xml:space="preserve">-</w:t>
            </w:r>
            <w:r>
              <w:t xml:space="preserve"> </w:t>
            </w:r>
            <w:r>
              <w:rPr>
                <w:b/>
                <w:bCs/>
              </w:rPr>
              <w:t xml:space="preserve">Segregation:</w:t>
            </w:r>
            <w:r>
              <w:t xml:space="preserve"> </w:t>
            </w:r>
            <w:r>
              <w:t xml:space="preserve">Physical, floor-to-ceiling separation of</w:t>
            </w:r>
            <w:r>
              <w:t xml:space="preserve"> </w:t>
            </w:r>
            <w:r>
              <w:t xml:space="preserve">“</w:t>
            </w:r>
            <w:r>
              <w:t xml:space="preserve">unclean</w:t>
            </w:r>
            <w:r>
              <w:t xml:space="preserve">”</w:t>
            </w:r>
            <w:r>
              <w:t xml:space="preserve"> </w:t>
            </w:r>
            <w:r>
              <w:t xml:space="preserve">(raw ABP) and</w:t>
            </w:r>
            <w:r>
              <w:t xml:space="preserve"> </w:t>
            </w:r>
            <w:r>
              <w:t xml:space="preserve">“</w:t>
            </w:r>
            <w:r>
              <w:t xml:space="preserve">clean</w:t>
            </w:r>
            <w:r>
              <w:t xml:space="preserve">”</w:t>
            </w:r>
            <w:r>
              <w:t xml:space="preserve"> </w:t>
            </w:r>
            <w:r>
              <w:t xml:space="preserve">(digestate) areas.</w:t>
            </w:r>
            <w:r>
              <w:t xml:space="preserve"> </w:t>
            </w:r>
            <w:r>
              <w:t xml:space="preserve"> </w:t>
            </w:r>
            <w:r>
              <w:t xml:space="preserve">-</w:t>
            </w:r>
            <w:r>
              <w:t xml:space="preserve"> </w:t>
            </w:r>
            <w:r>
              <w:rPr>
                <w:b/>
                <w:bCs/>
              </w:rPr>
              <w:t xml:space="preserve">Traceability:</w:t>
            </w:r>
            <w:r>
              <w:t xml:space="preserve"> </w:t>
            </w:r>
            <w:r>
              <w:t xml:space="preserve">Retain commercial documents for all ABP consignments for at least 2 years.</w:t>
            </w:r>
          </w:p>
        </w:tc>
      </w:tr>
      <w:tr>
        <w:tc>
          <w:tcPr/>
          <w:p>
            <w:pPr>
              <w:pStyle w:val="Compact"/>
              <w:jc w:val="left"/>
            </w:pPr>
            <w:r>
              <w:rPr>
                <w:b/>
                <w:bCs/>
              </w:rPr>
              <w:t xml:space="preserve">ISCC Certification</w:t>
            </w:r>
          </w:p>
        </w:tc>
        <w:tc>
          <w:tcPr/>
          <w:p>
            <w:pPr>
              <w:pStyle w:val="Compact"/>
              <w:jc w:val="left"/>
            </w:pPr>
            <w:r>
              <w:t xml:space="preserve">International Sustainability &amp; Carbon Certification for bio-based supply chains.</w:t>
            </w:r>
          </w:p>
        </w:tc>
        <w:tc>
          <w:tcPr/>
          <w:p>
            <w:pPr>
              <w:pStyle w:val="Compact"/>
              <w:jc w:val="left"/>
            </w:pPr>
            <w:r>
              <w:t xml:space="preserve">-</w:t>
            </w:r>
            <w:r>
              <w:t xml:space="preserve"> </w:t>
            </w:r>
            <w:r>
              <w:rPr>
                <w:b/>
                <w:bCs/>
              </w:rPr>
              <w:t xml:space="preserve">System:</w:t>
            </w:r>
            <w:r>
              <w:t xml:space="preserve"> </w:t>
            </w:r>
            <w:r>
              <w:t xml:space="preserve">Must be certified to handle and process ISCC-certified UCO.</w:t>
            </w:r>
            <w:r>
              <w:t xml:space="preserve"> </w:t>
            </w:r>
            <w:r>
              <w:t xml:space="preserve"> </w:t>
            </w:r>
            <w:r>
              <w:t xml:space="preserve">-</w:t>
            </w:r>
            <w:r>
              <w:t xml:space="preserve"> </w:t>
            </w:r>
            <w:r>
              <w:rPr>
                <w:b/>
                <w:bCs/>
              </w:rPr>
              <w:t xml:space="preserve">Mass Balance:</w:t>
            </w:r>
            <w:r>
              <w:t xml:space="preserve"> </w:t>
            </w:r>
            <w:r>
              <w:t xml:space="preserve">Maintain a meticulous mass balance ledger, subject to annual audit.</w:t>
            </w:r>
            <w:r>
              <w:t xml:space="preserve"> </w:t>
            </w:r>
            <w:r>
              <w:t xml:space="preserve"> </w:t>
            </w:r>
            <w:r>
              <w:t xml:space="preserve">-</w:t>
            </w:r>
            <w:r>
              <w:t xml:space="preserve"> </w:t>
            </w:r>
            <w:r>
              <w:rPr>
                <w:b/>
                <w:bCs/>
              </w:rPr>
              <w:t xml:space="preserve">Due Diligence:</w:t>
            </w:r>
            <w:r>
              <w:t xml:space="preserve"> </w:t>
            </w:r>
            <w:r>
              <w:t xml:space="preserve">Vet all suppliers to ensure they hold valid ISCC certificates. Obtain Proof of Sustainability (PoS) for every delivery.</w:t>
            </w:r>
          </w:p>
        </w:tc>
      </w:tr>
      <w:tr>
        <w:tc>
          <w:tcPr/>
          <w:p>
            <w:pPr>
              <w:pStyle w:val="Compact"/>
              <w:jc w:val="left"/>
            </w:pPr>
            <w:r>
              <w:rPr>
                <w:b/>
                <w:bCs/>
              </w:rPr>
              <w:t xml:space="preserve">Cross-Border Waste Shipment</w:t>
            </w:r>
          </w:p>
        </w:tc>
        <w:tc>
          <w:tcPr/>
          <w:p>
            <w:pPr>
              <w:pStyle w:val="Compact"/>
              <w:jc w:val="left"/>
            </w:pPr>
            <w:r>
              <w:t xml:space="preserve">Governs the movement of waste between countries (EC No 1013/2006).</w:t>
            </w:r>
          </w:p>
        </w:tc>
        <w:tc>
          <w:tcPr/>
          <w:p>
            <w:pPr>
              <w:pStyle w:val="Compact"/>
              <w:jc w:val="left"/>
            </w:pPr>
            <w:r>
              <w:t xml:space="preserve">-</w:t>
            </w:r>
            <w:r>
              <w:t xml:space="preserve"> </w:t>
            </w:r>
            <w:r>
              <w:rPr>
                <w:b/>
                <w:bCs/>
              </w:rPr>
              <w:t xml:space="preserve">Annex VII:</w:t>
            </w:r>
            <w:r>
              <w:t xml:space="preserve"> </w:t>
            </w:r>
            <w:r>
              <w:t xml:space="preserve">For</w:t>
            </w:r>
            <w:r>
              <w:t xml:space="preserve"> </w:t>
            </w:r>
            <w:r>
              <w:t xml:space="preserve">“</w:t>
            </w:r>
            <w:r>
              <w:t xml:space="preserve">green-listed</w:t>
            </w:r>
            <w:r>
              <w:t xml:space="preserve">”</w:t>
            </w:r>
            <w:r>
              <w:t xml:space="preserve"> </w:t>
            </w:r>
            <w:r>
              <w:t xml:space="preserve">waste like UCO, an Annex VII form must be completed and accompany the shipment.</w:t>
            </w:r>
            <w:r>
              <w:t xml:space="preserve"> </w:t>
            </w:r>
            <w:r>
              <w:t xml:space="preserve"> </w:t>
            </w:r>
            <w:r>
              <w:t xml:space="preserve">-</w:t>
            </w:r>
            <w:r>
              <w:t xml:space="preserve"> </w:t>
            </w:r>
            <w:r>
              <w:rPr>
                <w:b/>
                <w:bCs/>
              </w:rPr>
              <w:t xml:space="preserve">Contract:</w:t>
            </w:r>
            <w:r>
              <w:t xml:space="preserve"> </w:t>
            </w:r>
            <w:r>
              <w:t xml:space="preserve">A valid contract must be in place with the consignee before shipment.</w:t>
            </w:r>
            <w:r>
              <w:t xml:space="preserve"> </w:t>
            </w:r>
            <w:r>
              <w:t xml:space="preserve"> </w:t>
            </w:r>
            <w:r>
              <w:t xml:space="preserve">-</w:t>
            </w:r>
            <w:r>
              <w:t xml:space="preserve"> </w:t>
            </w:r>
            <w:r>
              <w:rPr>
                <w:b/>
                <w:bCs/>
              </w:rPr>
              <w:t xml:space="preserve">Record Keeping:</w:t>
            </w:r>
            <w:r>
              <w:t xml:space="preserve"> </w:t>
            </w:r>
            <w:r>
              <w:t xml:space="preserve">Retain completed Annex VII forms for at least 3 years.</w:t>
            </w:r>
          </w:p>
        </w:tc>
      </w:tr>
    </w:tbl>
    <w:bookmarkEnd w:id="26"/>
    <w:bookmarkStart w:id="27" w:name="product-quality-sale-market-access"/>
    <w:p>
      <w:pPr>
        <w:pStyle w:val="Heading3"/>
      </w:pPr>
      <w:r>
        <w:rPr>
          <w:b/>
          <w:bCs/>
        </w:rPr>
        <w:t xml:space="preserve">Product Quality, Sale &amp; Market Access</w:t>
      </w:r>
    </w:p>
    <w:tbl>
      <w:tblPr>
        <w:tblStyle w:val="Table"/>
        <w:tblW w:type="pct" w:w="5000"/>
        <w:jc w:val="left"/>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Standard / Regulation</w:t>
            </w:r>
          </w:p>
        </w:tc>
        <w:tc>
          <w:tcPr/>
          <w:p>
            <w:pPr>
              <w:pStyle w:val="Compact"/>
              <w:jc w:val="left"/>
            </w:pPr>
            <w:r>
              <w:t xml:space="preserve">Description</w:t>
            </w:r>
          </w:p>
        </w:tc>
        <w:tc>
          <w:tcPr/>
          <w:p>
            <w:pPr>
              <w:pStyle w:val="Compact"/>
              <w:jc w:val="left"/>
            </w:pPr>
            <w:r>
              <w:t xml:space="preserve">Key Obligations</w:t>
            </w:r>
          </w:p>
        </w:tc>
      </w:tr>
      <w:tr>
        <w:tc>
          <w:tcPr/>
          <w:p>
            <w:pPr>
              <w:pStyle w:val="Compact"/>
              <w:jc w:val="left"/>
            </w:pPr>
            <w:r>
              <w:rPr>
                <w:b/>
                <w:bCs/>
              </w:rPr>
              <w:t xml:space="preserve">PAS 110:2014</w:t>
            </w:r>
          </w:p>
        </w:tc>
        <w:tc>
          <w:tcPr/>
          <w:p>
            <w:pPr>
              <w:pStyle w:val="Compact"/>
              <w:jc w:val="left"/>
            </w:pPr>
            <w:r>
              <w:t xml:space="preserve">Specification for producing quality-assured biofertiliser (digestate).</w:t>
            </w:r>
          </w:p>
        </w:tc>
        <w:tc>
          <w:tcPr/>
          <w:p>
            <w:pPr>
              <w:pStyle w:val="Compact"/>
              <w:jc w:val="left"/>
            </w:pPr>
            <w:r>
              <w:t xml:space="preserve">-</w:t>
            </w:r>
            <w:r>
              <w:t xml:space="preserve"> </w:t>
            </w:r>
            <w:r>
              <w:rPr>
                <w:b/>
                <w:bCs/>
              </w:rPr>
              <w:t xml:space="preserve">QMS &amp; HACCP:</w:t>
            </w:r>
            <w:r>
              <w:t xml:space="preserve"> </w:t>
            </w:r>
            <w:r>
              <w:t xml:space="preserve">Implement a Quality Management System and a Hazard Analysis Critical Control Points plan.</w:t>
            </w:r>
            <w:r>
              <w:t xml:space="preserve"> </w:t>
            </w:r>
            <w:r>
              <w:t xml:space="preserve"> </w:t>
            </w:r>
            <w:r>
              <w:t xml:space="preserve">-</w:t>
            </w:r>
            <w:r>
              <w:t xml:space="preserve"> </w:t>
            </w:r>
            <w:r>
              <w:rPr>
                <w:b/>
                <w:bCs/>
              </w:rPr>
              <w:t xml:space="preserve">Testing:</w:t>
            </w:r>
            <w:r>
              <w:t xml:space="preserve"> </w:t>
            </w:r>
            <w:r>
              <w:t xml:space="preserve">Conduct regular sampling and testing against strict limits for contaminants and pathogens.</w:t>
            </w:r>
            <w:r>
              <w:t xml:space="preserve"> </w:t>
            </w:r>
            <w:r>
              <w:t xml:space="preserve"> </w:t>
            </w:r>
            <w:r>
              <w:t xml:space="preserve">-</w:t>
            </w:r>
            <w:r>
              <w:t xml:space="preserve"> </w:t>
            </w:r>
            <w:r>
              <w:rPr>
                <w:b/>
                <w:bCs/>
              </w:rPr>
              <w:t xml:space="preserve">Certification:</w:t>
            </w:r>
            <w:r>
              <w:t xml:space="preserve"> </w:t>
            </w:r>
            <w:r>
              <w:t xml:space="preserve">Required for enrollment in the Biofertiliser Certification Scheme to achieve</w:t>
            </w:r>
            <w:r>
              <w:t xml:space="preserve"> </w:t>
            </w:r>
            <w:r>
              <w:t xml:space="preserve">“</w:t>
            </w:r>
            <w:r>
              <w:t xml:space="preserve">end-of-waste</w:t>
            </w:r>
            <w:r>
              <w:t xml:space="preserve">”</w:t>
            </w:r>
            <w:r>
              <w:t xml:space="preserve"> </w:t>
            </w:r>
            <w:r>
              <w:t xml:space="preserve">status.</w:t>
            </w:r>
          </w:p>
        </w:tc>
      </w:tr>
      <w:tr>
        <w:tc>
          <w:tcPr/>
          <w:p>
            <w:pPr>
              <w:pStyle w:val="Compact"/>
              <w:jc w:val="left"/>
            </w:pPr>
            <w:r>
              <w:rPr>
                <w:b/>
                <w:bCs/>
              </w:rPr>
              <w:t xml:space="preserve">EN 14214</w:t>
            </w:r>
          </w:p>
        </w:tc>
        <w:tc>
          <w:tcPr/>
          <w:p>
            <w:pPr>
              <w:pStyle w:val="Compact"/>
              <w:jc w:val="left"/>
            </w:pPr>
            <w:r>
              <w:t xml:space="preserve">European quality standard for FAME biodiesel (B100).</w:t>
            </w:r>
          </w:p>
        </w:tc>
        <w:tc>
          <w:tcPr/>
          <w:p>
            <w:pPr>
              <w:pStyle w:val="Compact"/>
              <w:jc w:val="left"/>
            </w:pPr>
            <w:r>
              <w:t xml:space="preserve">-</w:t>
            </w:r>
            <w:r>
              <w:t xml:space="preserve"> </w:t>
            </w:r>
            <w:r>
              <w:rPr>
                <w:b/>
                <w:bCs/>
              </w:rPr>
              <w:t xml:space="preserve">Batch Testing:</w:t>
            </w:r>
            <w:r>
              <w:t xml:space="preserve"> </w:t>
            </w:r>
            <w:r>
              <w:t xml:space="preserve">Every batch of finished biodiesel must be tested against key parameters (e.g., Ester Content, Viscosity, Water Content, Oxidation Stability).</w:t>
            </w:r>
            <w:r>
              <w:t xml:space="preserve"> </w:t>
            </w:r>
            <w:r>
              <w:t xml:space="preserve"> </w:t>
            </w:r>
            <w:r>
              <w:t xml:space="preserve">-</w:t>
            </w:r>
            <w:r>
              <w:t xml:space="preserve"> </w:t>
            </w:r>
            <w:r>
              <w:rPr>
                <w:b/>
                <w:bCs/>
              </w:rPr>
              <w:t xml:space="preserve">Certificate of Analysis (CoA):</w:t>
            </w:r>
            <w:r>
              <w:t xml:space="preserve"> </w:t>
            </w:r>
            <w:r>
              <w:t xml:space="preserve">A CoA must be generated for each batch and provided to the customer.</w:t>
            </w:r>
          </w:p>
        </w:tc>
      </w:tr>
      <w:tr>
        <w:tc>
          <w:tcPr/>
          <w:p>
            <w:pPr>
              <w:pStyle w:val="Compact"/>
              <w:jc w:val="left"/>
            </w:pPr>
            <w:r>
              <w:rPr>
                <w:b/>
                <w:bCs/>
              </w:rPr>
              <w:t xml:space="preserve">UK RTFO</w:t>
            </w:r>
          </w:p>
        </w:tc>
        <w:tc>
          <w:tcPr/>
          <w:p>
            <w:pPr>
              <w:pStyle w:val="Compact"/>
              <w:jc w:val="left"/>
            </w:pPr>
            <w:r>
              <w:t xml:space="preserve">Renewable Transport Fuel Obligation; mechanism for promoting renewable fuels in the UK.</w:t>
            </w:r>
          </w:p>
        </w:tc>
        <w:tc>
          <w:tcPr/>
          <w:p>
            <w:pPr>
              <w:pStyle w:val="Compact"/>
              <w:jc w:val="left"/>
            </w:pPr>
            <w:r>
              <w:t xml:space="preserve">-</w:t>
            </w:r>
            <w:r>
              <w:t xml:space="preserve"> </w:t>
            </w:r>
            <w:r>
              <w:rPr>
                <w:b/>
                <w:bCs/>
              </w:rPr>
              <w:t xml:space="preserve">Registration:</w:t>
            </w:r>
            <w:r>
              <w:t xml:space="preserve"> </w:t>
            </w:r>
            <w:r>
              <w:t xml:space="preserve">Register with the Department for Transport (DfT) as a fuel supplier.</w:t>
            </w:r>
            <w:r>
              <w:t xml:space="preserve"> </w:t>
            </w:r>
            <w:r>
              <w:t xml:space="preserve"> </w:t>
            </w:r>
            <w:r>
              <w:t xml:space="preserve">-</w:t>
            </w:r>
            <w:r>
              <w:t xml:space="preserve"> </w:t>
            </w:r>
            <w:r>
              <w:rPr>
                <w:b/>
                <w:bCs/>
              </w:rPr>
              <w:t xml:space="preserve">RTFCs:</w:t>
            </w:r>
            <w:r>
              <w:t xml:space="preserve"> </w:t>
            </w:r>
            <w:r>
              <w:t xml:space="preserve">Claim RTFCs for supplied biodiesel. UCO-based fuel is eligible for</w:t>
            </w:r>
            <w:r>
              <w:t xml:space="preserve"> </w:t>
            </w:r>
            <w:r>
              <w:rPr>
                <w:b/>
                <w:bCs/>
              </w:rPr>
              <w:t xml:space="preserve">2 RTFCs per litre</w:t>
            </w:r>
            <w:r>
              <w:t xml:space="preserve"> </w:t>
            </w:r>
            <w:r>
              <w:t xml:space="preserve">(double-counting).</w:t>
            </w:r>
            <w:r>
              <w:t xml:space="preserve"> </w:t>
            </w:r>
            <w:r>
              <w:t xml:space="preserve"> </w:t>
            </w:r>
            <w:r>
              <w:t xml:space="preserve">-</w:t>
            </w:r>
            <w:r>
              <w:t xml:space="preserve"> </w:t>
            </w:r>
            <w:r>
              <w:rPr>
                <w:b/>
                <w:bCs/>
              </w:rPr>
              <w:t xml:space="preserve">Reporting &amp; Verification:</w:t>
            </w:r>
            <w:r>
              <w:t xml:space="preserve"> </w:t>
            </w:r>
            <w:r>
              <w:t xml:space="preserve">Submit periodic reports and undergo an annual independent verification audit.</w:t>
            </w:r>
          </w:p>
        </w:tc>
      </w:tr>
      <w:tr>
        <w:tc>
          <w:tcPr/>
          <w:p>
            <w:pPr>
              <w:pStyle w:val="Compact"/>
              <w:jc w:val="left"/>
            </w:pPr>
            <w:r>
              <w:rPr>
                <w:b/>
                <w:bCs/>
              </w:rPr>
              <w:t xml:space="preserve">EU RED II / RED III</w:t>
            </w:r>
          </w:p>
        </w:tc>
        <w:tc>
          <w:tcPr/>
          <w:p>
            <w:pPr>
              <w:pStyle w:val="Compact"/>
              <w:jc w:val="left"/>
            </w:pPr>
            <w:r>
              <w:t xml:space="preserve">EU Renewable Energy Directives setting sustainability and GHG-saving criteria.</w:t>
            </w:r>
          </w:p>
        </w:tc>
        <w:tc>
          <w:tcPr/>
          <w:p>
            <w:pPr>
              <w:pStyle w:val="Compact"/>
              <w:jc w:val="left"/>
            </w:pPr>
            <w:r>
              <w:t xml:space="preserve">-</w:t>
            </w:r>
            <w:r>
              <w:t xml:space="preserve"> </w:t>
            </w:r>
            <w:r>
              <w:rPr>
                <w:b/>
                <w:bCs/>
              </w:rPr>
              <w:t xml:space="preserve">GHG Savings:</w:t>
            </w:r>
            <w:r>
              <w:t xml:space="preserve"> </w:t>
            </w:r>
            <w:r>
              <w:t xml:space="preserve">Demonstrate that the biodiesel meets the required GHG saving threshold (&gt;65%).</w:t>
            </w:r>
            <w:r>
              <w:t xml:space="preserve"> </w:t>
            </w:r>
            <w:r>
              <w:t xml:space="preserve"> </w:t>
            </w:r>
            <w:r>
              <w:t xml:space="preserve">-</w:t>
            </w:r>
            <w:r>
              <w:t xml:space="preserve"> </w:t>
            </w:r>
            <w:r>
              <w:rPr>
                <w:b/>
                <w:bCs/>
              </w:rPr>
              <w:t xml:space="preserve">Traceability:</w:t>
            </w:r>
            <w:r>
              <w:t xml:space="preserve"> </w:t>
            </w:r>
            <w:r>
              <w:t xml:space="preserve">Compliance is proven via ISCC certification and tracked in the Union Database for Biofuels (UDB).</w:t>
            </w:r>
          </w:p>
        </w:tc>
      </w:tr>
      <w:tr>
        <w:tc>
          <w:tcPr/>
          <w:p>
            <w:pPr>
              <w:pStyle w:val="Compact"/>
              <w:jc w:val="left"/>
            </w:pPr>
            <w:r>
              <w:rPr>
                <w:b/>
                <w:bCs/>
              </w:rPr>
              <w:t xml:space="preserve">HMRC Excise &amp; Fuel Duty</w:t>
            </w:r>
          </w:p>
        </w:tc>
        <w:tc>
          <w:tcPr/>
          <w:p>
            <w:pPr>
              <w:pStyle w:val="Compact"/>
              <w:jc w:val="left"/>
            </w:pPr>
            <w:r>
              <w:t xml:space="preserve">Governs the taxation of fuels in the UK.</w:t>
            </w:r>
          </w:p>
        </w:tc>
        <w:tc>
          <w:tcPr/>
          <w:p>
            <w:pPr>
              <w:pStyle w:val="Compact"/>
              <w:jc w:val="left"/>
            </w:pPr>
            <w:r>
              <w:t xml:space="preserve">-</w:t>
            </w:r>
            <w:r>
              <w:t xml:space="preserve"> </w:t>
            </w:r>
            <w:r>
              <w:rPr>
                <w:b/>
                <w:bCs/>
              </w:rPr>
              <w:t xml:space="preserve">Registration:</w:t>
            </w:r>
            <w:r>
              <w:t xml:space="preserve"> </w:t>
            </w:r>
            <w:r>
              <w:t xml:space="preserve">Register with HMRC for the</w:t>
            </w:r>
            <w:r>
              <w:t xml:space="preserve"> </w:t>
            </w:r>
            <w:r>
              <w:t xml:space="preserve">“</w:t>
            </w:r>
            <w:r>
              <w:t xml:space="preserve">Biofuels and Other Fuel Substitutes</w:t>
            </w:r>
            <w:r>
              <w:t xml:space="preserve">”</w:t>
            </w:r>
            <w:r>
              <w:t xml:space="preserve"> </w:t>
            </w:r>
            <w:r>
              <w:t xml:space="preserve">scheme.</w:t>
            </w:r>
            <w:r>
              <w:t xml:space="preserve"> </w:t>
            </w:r>
            <w:r>
              <w:t xml:space="preserve"> </w:t>
            </w:r>
            <w:r>
              <w:t xml:space="preserve">-</w:t>
            </w:r>
            <w:r>
              <w:t xml:space="preserve"> </w:t>
            </w:r>
            <w:r>
              <w:rPr>
                <w:b/>
                <w:bCs/>
              </w:rPr>
              <w:t xml:space="preserve">Reporting:</w:t>
            </w:r>
            <w:r>
              <w:t xml:space="preserve"> </w:t>
            </w:r>
            <w:r>
              <w:t xml:space="preserve">Submit regular returns (e.g., Form HO930) and pay duty on fuel released to market. Volumes must align with RTFO reports.</w:t>
            </w:r>
          </w:p>
        </w:tc>
      </w:tr>
    </w:tbl>
    <w:p>
      <w:r>
        <w:pict>
          <v:rect style="width:0;height:1.5pt" o:hralign="center" o:hrstd="t" o:hr="t"/>
        </w:pict>
      </w:r>
    </w:p>
    <w:bookmarkEnd w:id="27"/>
    <w:bookmarkEnd w:id="28"/>
    <w:bookmarkStart w:id="29" w:name="raci-matrix-for-compliance-management"/>
    <w:p>
      <w:pPr>
        <w:pStyle w:val="Heading2"/>
      </w:pPr>
      <w:r>
        <w:rPr>
          <w:b/>
          <w:bCs/>
        </w:rPr>
        <w:t xml:space="preserve">3. RACI Matrix for Compliance Management</w:t>
      </w:r>
    </w:p>
    <w:p>
      <w:pPr>
        <w:pStyle w:val="FirstParagraph"/>
      </w:pPr>
      <w:r>
        <w:t xml:space="preserve">This matrix outlines the roles and responsibilities for key compliance activities.</w:t>
      </w:r>
    </w:p>
    <w:p>
      <w:pPr>
        <w:pStyle w:val="BodyText"/>
      </w:pPr>
      <w:r>
        <w:rPr>
          <w:b/>
          <w:bCs/>
        </w:rPr>
        <w:t xml:space="preserve">Roles:</w:t>
      </w:r>
      <w:r>
        <w:t xml:space="preserve"> </w:t>
      </w:r>
      <w:r>
        <w:t xml:space="preserve">*</w:t>
      </w:r>
      <w:r>
        <w:t xml:space="preserve"> </w:t>
      </w:r>
      <w:r>
        <w:rPr>
          <w:b/>
          <w:bCs/>
        </w:rPr>
        <w:t xml:space="preserve">MD:</w:t>
      </w:r>
      <w:r>
        <w:t xml:space="preserve"> </w:t>
      </w:r>
      <w:r>
        <w:t xml:space="preserve">Managing Director</w:t>
      </w:r>
      <w:r>
        <w:t xml:space="preserve"> </w:t>
      </w:r>
      <w:r>
        <w:t xml:space="preserve">*</w:t>
      </w:r>
      <w:r>
        <w:t xml:space="preserve"> </w:t>
      </w:r>
      <w:r>
        <w:rPr>
          <w:b/>
          <w:bCs/>
        </w:rPr>
        <w:t xml:space="preserve">PM:</w:t>
      </w:r>
      <w:r>
        <w:t xml:space="preserve"> </w:t>
      </w:r>
      <w:r>
        <w:t xml:space="preserve">Plant Manager</w:t>
      </w:r>
      <w:r>
        <w:t xml:space="preserve"> </w:t>
      </w:r>
      <w:r>
        <w:t xml:space="preserve">*</w:t>
      </w:r>
      <w:r>
        <w:t xml:space="preserve"> </w:t>
      </w:r>
      <w:r>
        <w:rPr>
          <w:b/>
          <w:bCs/>
        </w:rPr>
        <w:t xml:space="preserve">CO:</w:t>
      </w:r>
      <w:r>
        <w:t xml:space="preserve"> </w:t>
      </w:r>
      <w:r>
        <w:t xml:space="preserve">Compliance Officer</w:t>
      </w:r>
      <w:r>
        <w:t xml:space="preserve"> </w:t>
      </w:r>
      <w:r>
        <w:t xml:space="preserve">*</w:t>
      </w:r>
      <w:r>
        <w:t xml:space="preserve"> </w:t>
      </w:r>
      <w:r>
        <w:rPr>
          <w:b/>
          <w:bCs/>
        </w:rPr>
        <w:t xml:space="preserve">HSM:</w:t>
      </w:r>
      <w:r>
        <w:t xml:space="preserve"> </w:t>
      </w:r>
      <w:r>
        <w:t xml:space="preserve">Health &amp; Safety Manager</w:t>
      </w:r>
      <w:r>
        <w:t xml:space="preserve"> </w:t>
      </w:r>
      <w:r>
        <w:t xml:space="preserve">*</w:t>
      </w:r>
      <w:r>
        <w:t xml:space="preserve"> </w:t>
      </w:r>
      <w:r>
        <w:rPr>
          <w:b/>
          <w:bCs/>
        </w:rPr>
        <w:t xml:space="preserve">FM:</w:t>
      </w:r>
      <w:r>
        <w:t xml:space="preserve"> </w:t>
      </w:r>
      <w:r>
        <w:t xml:space="preserve">Finance Manager</w:t>
      </w:r>
      <w:r>
        <w:t xml:space="preserve"> </w:t>
      </w:r>
      <w:r>
        <w:t xml:space="preserve">*</w:t>
      </w:r>
      <w:r>
        <w:t xml:space="preserve"> </w:t>
      </w:r>
      <w:r>
        <w:rPr>
          <w:b/>
          <w:bCs/>
        </w:rPr>
        <w:t xml:space="preserve">OT:</w:t>
      </w:r>
      <w:r>
        <w:t xml:space="preserve"> </w:t>
      </w:r>
      <w:r>
        <w:t xml:space="preserve">Operations Team</w:t>
      </w:r>
    </w:p>
    <w:tbl>
      <w:tblPr>
        <w:tblStyle w:val="Table"/>
        <w:tblW w:type="pct" w:w="5000"/>
        <w:jc w:val="left"/>
        <w:tblLayout w:type="fixed"/>
        <w:tblLook w:firstRow="1" w:lastRow="0" w:firstColumn="0" w:lastColumn="0" w:noHBand="0" w:noVBand="0" w:val="0020"/>
      </w:tblPr>
      <w:tblGrid>
        <w:gridCol w:w="1440"/>
        <w:gridCol w:w="1080"/>
        <w:gridCol w:w="1080"/>
        <w:gridCol w:w="1080"/>
        <w:gridCol w:w="1080"/>
        <w:gridCol w:w="1080"/>
        <w:gridCol w:w="1080"/>
      </w:tblGrid>
      <w:tr>
        <w:trPr>
          <w:tblHeader w:val="on"/>
        </w:trPr>
        <w:tc>
          <w:tcPr/>
          <w:p>
            <w:pPr>
              <w:pStyle w:val="Compact"/>
              <w:jc w:val="left"/>
            </w:pPr>
            <w:r>
              <w:t xml:space="preserve">Compliance Activity / Document</w:t>
            </w:r>
          </w:p>
        </w:tc>
        <w:tc>
          <w:tcPr/>
          <w:p>
            <w:pPr>
              <w:pStyle w:val="Compact"/>
              <w:jc w:val="center"/>
            </w:pPr>
            <w:r>
              <w:t xml:space="preserve">MD</w:t>
            </w:r>
          </w:p>
        </w:tc>
        <w:tc>
          <w:tcPr/>
          <w:p>
            <w:pPr>
              <w:pStyle w:val="Compact"/>
              <w:jc w:val="center"/>
            </w:pPr>
            <w:r>
              <w:t xml:space="preserve">PM</w:t>
            </w:r>
          </w:p>
        </w:tc>
        <w:tc>
          <w:tcPr/>
          <w:p>
            <w:pPr>
              <w:pStyle w:val="Compact"/>
              <w:jc w:val="center"/>
            </w:pPr>
            <w:r>
              <w:t xml:space="preserve">CO</w:t>
            </w:r>
          </w:p>
        </w:tc>
        <w:tc>
          <w:tcPr/>
          <w:p>
            <w:pPr>
              <w:pStyle w:val="Compact"/>
              <w:jc w:val="center"/>
            </w:pPr>
            <w:r>
              <w:t xml:space="preserve">HSM</w:t>
            </w:r>
          </w:p>
        </w:tc>
        <w:tc>
          <w:tcPr/>
          <w:p>
            <w:pPr>
              <w:pStyle w:val="Compact"/>
              <w:jc w:val="center"/>
            </w:pPr>
            <w:r>
              <w:t xml:space="preserve">FM</w:t>
            </w:r>
          </w:p>
        </w:tc>
        <w:tc>
          <w:tcPr/>
          <w:p>
            <w:pPr>
              <w:pStyle w:val="Compact"/>
              <w:jc w:val="center"/>
            </w:pPr>
            <w:r>
              <w:t xml:space="preserve">OT</w:t>
            </w:r>
          </w:p>
        </w:tc>
      </w:tr>
      <w:tr>
        <w:tc>
          <w:tcPr/>
          <w:p>
            <w:pPr>
              <w:pStyle w:val="Compact"/>
              <w:jc w:val="left"/>
            </w:pPr>
            <w:r>
              <w:rPr>
                <w:b/>
                <w:bCs/>
              </w:rPr>
              <w:t xml:space="preserve">Environmental Permitting (Application &amp; Variation)</w:t>
            </w:r>
          </w:p>
        </w:tc>
        <w:tc>
          <w:tcPr/>
          <w:p>
            <w:pPr>
              <w:pStyle w:val="Compact"/>
              <w:jc w:val="center"/>
            </w:pPr>
            <w:r>
              <w:rPr>
                <w:b/>
                <w:bCs/>
              </w:rPr>
              <w:t xml:space="preserve">A</w:t>
            </w:r>
          </w:p>
        </w:tc>
        <w:tc>
          <w:tcPr/>
          <w:p>
            <w:pPr>
              <w:pStyle w:val="Compact"/>
              <w:jc w:val="center"/>
            </w:pPr>
            <w:r>
              <w:t xml:space="preserve">R</w:t>
            </w:r>
          </w:p>
        </w:tc>
        <w:tc>
          <w:tcPr/>
          <w:p>
            <w:pPr>
              <w:pStyle w:val="Compact"/>
              <w:jc w:val="center"/>
            </w:pPr>
            <w:r>
              <w:t xml:space="preserve">C</w:t>
            </w:r>
          </w:p>
        </w:tc>
        <w:tc>
          <w:tcPr/>
          <w:p>
            <w:pPr>
              <w:pStyle w:val="Compact"/>
              <w:jc w:val="center"/>
            </w:pPr>
            <w:r>
              <w:t xml:space="preserve">C</w:t>
            </w:r>
          </w:p>
        </w:tc>
        <w:tc>
          <w:tcPr/>
          <w:p>
            <w:pPr>
              <w:pStyle w:val="Compact"/>
              <w:jc w:val="center"/>
            </w:pPr>
            <w:r>
              <w:t xml:space="preserve">-</w:t>
            </w:r>
          </w:p>
        </w:tc>
        <w:tc>
          <w:tcPr/>
          <w:p>
            <w:pPr>
              <w:pStyle w:val="Compact"/>
              <w:jc w:val="center"/>
            </w:pPr>
            <w:r>
              <w:t xml:space="preserve">I</w:t>
            </w:r>
          </w:p>
        </w:tc>
      </w:tr>
      <w:tr>
        <w:tc>
          <w:tcPr/>
          <w:p>
            <w:pPr>
              <w:pStyle w:val="Compact"/>
              <w:jc w:val="left"/>
            </w:pPr>
            <w:r>
              <w:rPr>
                <w:b/>
                <w:bCs/>
              </w:rPr>
              <w:t xml:space="preserve">Environmental Permit (Operational Compliance)</w:t>
            </w:r>
          </w:p>
        </w:tc>
        <w:tc>
          <w:tcPr/>
          <w:p>
            <w:pPr>
              <w:pStyle w:val="Compact"/>
              <w:jc w:val="center"/>
            </w:pPr>
            <w:r>
              <w:t xml:space="preserve">I</w:t>
            </w:r>
          </w:p>
        </w:tc>
        <w:tc>
          <w:tcPr/>
          <w:p>
            <w:pPr>
              <w:pStyle w:val="Compact"/>
              <w:jc w:val="center"/>
            </w:pPr>
            <w:r>
              <w:rPr>
                <w:b/>
                <w:bCs/>
              </w:rPr>
              <w:t xml:space="preserve">A</w:t>
            </w:r>
          </w:p>
        </w:tc>
        <w:tc>
          <w:tcPr/>
          <w:p>
            <w:pPr>
              <w:pStyle w:val="Compact"/>
              <w:jc w:val="center"/>
            </w:pPr>
            <w:r>
              <w:t xml:space="preserve">R</w:t>
            </w:r>
          </w:p>
        </w:tc>
        <w:tc>
          <w:tcPr/>
          <w:p>
            <w:pPr>
              <w:pStyle w:val="Compact"/>
              <w:jc w:val="center"/>
            </w:pPr>
            <w:r>
              <w:t xml:space="preserve">I</w:t>
            </w:r>
          </w:p>
        </w:tc>
        <w:tc>
          <w:tcPr/>
          <w:p>
            <w:pPr>
              <w:pStyle w:val="Compact"/>
              <w:jc w:val="center"/>
            </w:pPr>
            <w:r>
              <w:t xml:space="preserve">-</w:t>
            </w:r>
          </w:p>
        </w:tc>
        <w:tc>
          <w:tcPr/>
          <w:p>
            <w:pPr>
              <w:pStyle w:val="Compact"/>
              <w:jc w:val="center"/>
            </w:pPr>
            <w:r>
              <w:t xml:space="preserve">R</w:t>
            </w:r>
          </w:p>
        </w:tc>
      </w:tr>
      <w:tr>
        <w:tc>
          <w:tcPr/>
          <w:p>
            <w:pPr>
              <w:pStyle w:val="Compact"/>
              <w:jc w:val="left"/>
            </w:pPr>
            <w:r>
              <w:rPr>
                <w:b/>
                <w:bCs/>
              </w:rPr>
              <w:t xml:space="preserve">HSWA Policy &amp; Management System</w:t>
            </w:r>
          </w:p>
        </w:tc>
        <w:tc>
          <w:tcPr/>
          <w:p>
            <w:pPr>
              <w:pStyle w:val="Compact"/>
              <w:jc w:val="center"/>
            </w:pPr>
            <w:r>
              <w:rPr>
                <w:b/>
                <w:bCs/>
              </w:rPr>
              <w:t xml:space="preserve">A</w:t>
            </w:r>
          </w:p>
        </w:tc>
        <w:tc>
          <w:tcPr/>
          <w:p>
            <w:pPr>
              <w:pStyle w:val="Compact"/>
              <w:jc w:val="center"/>
            </w:pPr>
            <w:r>
              <w:t xml:space="preserve">R</w:t>
            </w:r>
          </w:p>
        </w:tc>
        <w:tc>
          <w:tcPr/>
          <w:p>
            <w:pPr>
              <w:pStyle w:val="Compact"/>
              <w:jc w:val="center"/>
            </w:pPr>
            <w:r>
              <w:t xml:space="preserve">I</w:t>
            </w:r>
          </w:p>
        </w:tc>
        <w:tc>
          <w:tcPr/>
          <w:p>
            <w:pPr>
              <w:pStyle w:val="Compact"/>
              <w:jc w:val="center"/>
            </w:pPr>
            <w:r>
              <w:t xml:space="preserve">R</w:t>
            </w:r>
          </w:p>
        </w:tc>
        <w:tc>
          <w:tcPr/>
          <w:p>
            <w:pPr>
              <w:pStyle w:val="Compact"/>
              <w:jc w:val="center"/>
            </w:pPr>
            <w:r>
              <w:t xml:space="preserve">-</w:t>
            </w:r>
          </w:p>
        </w:tc>
        <w:tc>
          <w:tcPr/>
          <w:p>
            <w:pPr>
              <w:pStyle w:val="Compact"/>
              <w:jc w:val="center"/>
            </w:pPr>
            <w:r>
              <w:t xml:space="preserve">I</w:t>
            </w:r>
          </w:p>
        </w:tc>
      </w:tr>
      <w:tr>
        <w:tc>
          <w:tcPr/>
          <w:p>
            <w:pPr>
              <w:pStyle w:val="Compact"/>
              <w:jc w:val="left"/>
            </w:pPr>
            <w:r>
              <w:rPr>
                <w:b/>
                <w:bCs/>
              </w:rPr>
              <w:t xml:space="preserve">ABP Regulations &amp; APHA Liaison</w:t>
            </w:r>
          </w:p>
        </w:tc>
        <w:tc>
          <w:tcPr/>
          <w:p>
            <w:pPr>
              <w:pStyle w:val="Compact"/>
              <w:jc w:val="center"/>
            </w:pPr>
            <w:r>
              <w:t xml:space="preserve">I</w:t>
            </w:r>
          </w:p>
        </w:tc>
        <w:tc>
          <w:tcPr/>
          <w:p>
            <w:pPr>
              <w:pStyle w:val="Compact"/>
              <w:jc w:val="center"/>
            </w:pPr>
            <w:r>
              <w:rPr>
                <w:b/>
                <w:bCs/>
              </w:rPr>
              <w:t xml:space="preserve">A</w:t>
            </w:r>
          </w:p>
        </w:tc>
        <w:tc>
          <w:tcPr/>
          <w:p>
            <w:pPr>
              <w:pStyle w:val="Compact"/>
              <w:jc w:val="center"/>
            </w:pPr>
            <w:r>
              <w:t xml:space="preserv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w:t>
            </w:r>
          </w:p>
        </w:tc>
      </w:tr>
      <w:tr>
        <w:tc>
          <w:tcPr/>
          <w:p>
            <w:pPr>
              <w:pStyle w:val="Compact"/>
              <w:jc w:val="left"/>
            </w:pPr>
            <w:r>
              <w:rPr>
                <w:b/>
                <w:bCs/>
              </w:rPr>
              <w:t xml:space="preserve">PAS 110 / Biofertiliser Certification</w:t>
            </w:r>
          </w:p>
        </w:tc>
        <w:tc>
          <w:tcPr/>
          <w:p>
            <w:pPr>
              <w:pStyle w:val="Compact"/>
              <w:jc w:val="center"/>
            </w:pPr>
            <w:r>
              <w:t xml:space="preserve">I</w:t>
            </w:r>
          </w:p>
        </w:tc>
        <w:tc>
          <w:tcPr/>
          <w:p>
            <w:pPr>
              <w:pStyle w:val="Compact"/>
              <w:jc w:val="center"/>
            </w:pPr>
            <w:r>
              <w:rPr>
                <w:b/>
                <w:bCs/>
              </w:rPr>
              <w:t xml:space="preserve">A</w:t>
            </w:r>
          </w:p>
        </w:tc>
        <w:tc>
          <w:tcPr/>
          <w:p>
            <w:pPr>
              <w:pStyle w:val="Compact"/>
              <w:jc w:val="center"/>
            </w:pPr>
            <w:r>
              <w:t xml:space="preserv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R</w:t>
            </w:r>
          </w:p>
        </w:tc>
      </w:tr>
      <w:tr>
        <w:tc>
          <w:tcPr/>
          <w:p>
            <w:pPr>
              <w:pStyle w:val="Compact"/>
              <w:jc w:val="left"/>
            </w:pPr>
            <w:r>
              <w:rPr>
                <w:b/>
                <w:bCs/>
              </w:rPr>
              <w:t xml:space="preserve">DSEAR Risk Assessment &amp; Control</w:t>
            </w:r>
          </w:p>
        </w:tc>
        <w:tc>
          <w:tcPr/>
          <w:p>
            <w:pPr>
              <w:pStyle w:val="Compact"/>
              <w:jc w:val="center"/>
            </w:pPr>
            <w:r>
              <w:t xml:space="preserve">I</w:t>
            </w:r>
          </w:p>
        </w:tc>
        <w:tc>
          <w:tcPr/>
          <w:p>
            <w:pPr>
              <w:pStyle w:val="Compact"/>
              <w:jc w:val="center"/>
            </w:pPr>
            <w:r>
              <w:t xml:space="preserve">R</w:t>
            </w:r>
          </w:p>
        </w:tc>
        <w:tc>
          <w:tcPr/>
          <w:p>
            <w:pPr>
              <w:pStyle w:val="Compact"/>
              <w:jc w:val="center"/>
            </w:pPr>
            <w:r>
              <w:t xml:space="preserve">C</w:t>
            </w:r>
          </w:p>
        </w:tc>
        <w:tc>
          <w:tcPr/>
          <w:p>
            <w:pPr>
              <w:pStyle w:val="Compact"/>
              <w:jc w:val="center"/>
            </w:pPr>
            <w:r>
              <w:rPr>
                <w:b/>
                <w:bCs/>
              </w:rPr>
              <w:t xml:space="preserve">A</w:t>
            </w:r>
          </w:p>
        </w:tc>
        <w:tc>
          <w:tcPr/>
          <w:p>
            <w:pPr>
              <w:pStyle w:val="Compact"/>
              <w:jc w:val="center"/>
            </w:pPr>
            <w:r>
              <w:t xml:space="preserve">-</w:t>
            </w:r>
          </w:p>
        </w:tc>
        <w:tc>
          <w:tcPr/>
          <w:p>
            <w:pPr>
              <w:pStyle w:val="Compact"/>
              <w:jc w:val="center"/>
            </w:pPr>
            <w:r>
              <w:t xml:space="preserve">R</w:t>
            </w:r>
          </w:p>
        </w:tc>
      </w:tr>
      <w:tr>
        <w:tc>
          <w:tcPr/>
          <w:p>
            <w:pPr>
              <w:pStyle w:val="Compact"/>
              <w:jc w:val="left"/>
            </w:pPr>
            <w:r>
              <w:rPr>
                <w:b/>
                <w:bCs/>
              </w:rPr>
              <w:t xml:space="preserve">G99 / GS(M)R Grid Compliance</w:t>
            </w:r>
          </w:p>
        </w:tc>
        <w:tc>
          <w:tcPr/>
          <w:p>
            <w:pPr>
              <w:pStyle w:val="Compact"/>
              <w:jc w:val="center"/>
            </w:pPr>
            <w:r>
              <w:t xml:space="preserve">I</w:t>
            </w:r>
          </w:p>
        </w:tc>
        <w:tc>
          <w:tcPr/>
          <w:p>
            <w:pPr>
              <w:pStyle w:val="Compact"/>
              <w:jc w:val="center"/>
            </w:pPr>
            <w:r>
              <w:rPr>
                <w:b/>
                <w:bCs/>
              </w:rPr>
              <w:t xml:space="preserve">A</w:t>
            </w:r>
          </w:p>
        </w:tc>
        <w:tc>
          <w:tcPr/>
          <w:p>
            <w:pPr>
              <w:pStyle w:val="Compact"/>
              <w:jc w:val="center"/>
            </w:pPr>
            <w:r>
              <w:t xml:space="preserve">R</w:t>
            </w:r>
          </w:p>
        </w:tc>
        <w:tc>
          <w:tcPr/>
          <w:p>
            <w:pPr>
              <w:pStyle w:val="Compact"/>
              <w:jc w:val="center"/>
            </w:pPr>
            <w:r>
              <w:t xml:space="preserve">I</w:t>
            </w:r>
          </w:p>
        </w:tc>
        <w:tc>
          <w:tcPr/>
          <w:p>
            <w:pPr>
              <w:pStyle w:val="Compact"/>
              <w:jc w:val="center"/>
            </w:pPr>
            <w:r>
              <w:t xml:space="preserve">-</w:t>
            </w:r>
          </w:p>
        </w:tc>
        <w:tc>
          <w:tcPr/>
          <w:p>
            <w:pPr>
              <w:pStyle w:val="Compact"/>
              <w:jc w:val="center"/>
            </w:pPr>
            <w:r>
              <w:t xml:space="preserve">I</w:t>
            </w:r>
          </w:p>
        </w:tc>
      </w:tr>
      <w:tr>
        <w:tc>
          <w:tcPr/>
          <w:p>
            <w:pPr>
              <w:pStyle w:val="Compact"/>
              <w:jc w:val="left"/>
            </w:pPr>
            <w:r>
              <w:rPr>
                <w:b/>
                <w:bCs/>
              </w:rPr>
              <w:t xml:space="preserve">ISCC Certification &amp; Audits</w:t>
            </w:r>
          </w:p>
        </w:tc>
        <w:tc>
          <w:tcPr/>
          <w:p>
            <w:pPr>
              <w:pStyle w:val="Compact"/>
              <w:jc w:val="center"/>
            </w:pPr>
            <w:r>
              <w:t xml:space="preserve">I</w:t>
            </w:r>
          </w:p>
        </w:tc>
        <w:tc>
          <w:tcPr/>
          <w:p>
            <w:pPr>
              <w:pStyle w:val="Compact"/>
              <w:jc w:val="center"/>
            </w:pPr>
            <w:r>
              <w:t xml:space="preserve">R</w:t>
            </w:r>
          </w:p>
        </w:tc>
        <w:tc>
          <w:tcPr/>
          <w:p>
            <w:pPr>
              <w:pStyle w:val="Compact"/>
              <w:jc w:val="center"/>
            </w:pPr>
            <w:r>
              <w:rPr>
                <w:b/>
                <w:bCs/>
              </w:rPr>
              <w:t xml:space="preserve">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w:t>
            </w:r>
          </w:p>
        </w:tc>
      </w:tr>
      <w:tr>
        <w:tc>
          <w:tcPr/>
          <w:p>
            <w:pPr>
              <w:pStyle w:val="Compact"/>
              <w:jc w:val="left"/>
            </w:pPr>
            <w:r>
              <w:rPr>
                <w:b/>
                <w:bCs/>
              </w:rPr>
              <w:t xml:space="preserve">EN 14214 Quality Control</w:t>
            </w:r>
          </w:p>
        </w:tc>
        <w:tc>
          <w:tcPr/>
          <w:p>
            <w:pPr>
              <w:pStyle w:val="Compact"/>
              <w:jc w:val="center"/>
            </w:pPr>
            <w:r>
              <w:t xml:space="preserve">-</w:t>
            </w:r>
          </w:p>
        </w:tc>
        <w:tc>
          <w:tcPr/>
          <w:p>
            <w:pPr>
              <w:pStyle w:val="Compact"/>
              <w:jc w:val="center"/>
            </w:pPr>
            <w:r>
              <w:t xml:space="preserve">R</w:t>
            </w:r>
          </w:p>
        </w:tc>
        <w:tc>
          <w:tcPr/>
          <w:p>
            <w:pPr>
              <w:pStyle w:val="Compact"/>
              <w:jc w:val="center"/>
            </w:pPr>
            <w:r>
              <w:t xml:space="preserve">C</w:t>
            </w:r>
          </w:p>
        </w:tc>
        <w:tc>
          <w:tcPr/>
          <w:p>
            <w:pPr>
              <w:pStyle w:val="Compact"/>
              <w:jc w:val="center"/>
            </w:pPr>
            <w:r>
              <w:t xml:space="preserve">-</w:t>
            </w:r>
          </w:p>
        </w:tc>
        <w:tc>
          <w:tcPr/>
          <w:p>
            <w:pPr>
              <w:pStyle w:val="Compact"/>
              <w:jc w:val="center"/>
            </w:pPr>
            <w:r>
              <w:t xml:space="preserve">-</w:t>
            </w:r>
          </w:p>
        </w:tc>
        <w:tc>
          <w:tcPr/>
          <w:p>
            <w:pPr>
              <w:pStyle w:val="Compact"/>
              <w:jc w:val="center"/>
            </w:pPr>
            <w:r>
              <w:rPr>
                <w:b/>
                <w:bCs/>
              </w:rPr>
              <w:t xml:space="preserve">A</w:t>
            </w:r>
          </w:p>
        </w:tc>
      </w:tr>
      <w:tr>
        <w:tc>
          <w:tcPr/>
          <w:p>
            <w:pPr>
              <w:pStyle w:val="Compact"/>
              <w:jc w:val="left"/>
            </w:pPr>
            <w:r>
              <w:rPr>
                <w:b/>
                <w:bCs/>
              </w:rPr>
              <w:t xml:space="preserve">RTFO Reporting &amp; Verification</w:t>
            </w:r>
          </w:p>
        </w:tc>
        <w:tc>
          <w:tcPr/>
          <w:p>
            <w:pPr>
              <w:pStyle w:val="Compact"/>
              <w:jc w:val="center"/>
            </w:pPr>
            <w:r>
              <w:t xml:space="preserve">I</w:t>
            </w:r>
          </w:p>
        </w:tc>
        <w:tc>
          <w:tcPr/>
          <w:p>
            <w:pPr>
              <w:pStyle w:val="Compact"/>
              <w:jc w:val="center"/>
            </w:pPr>
            <w:r>
              <w:t xml:space="preserve">C</w:t>
            </w:r>
          </w:p>
        </w:tc>
        <w:tc>
          <w:tcPr/>
          <w:p>
            <w:pPr>
              <w:pStyle w:val="Compact"/>
              <w:jc w:val="center"/>
            </w:pPr>
            <w:r>
              <w:rPr>
                <w:b/>
                <w:bCs/>
              </w:rPr>
              <w:t xml:space="preserve">A</w:t>
            </w:r>
          </w:p>
        </w:tc>
        <w:tc>
          <w:tcPr/>
          <w:p>
            <w:pPr>
              <w:pStyle w:val="Compact"/>
              <w:jc w:val="center"/>
            </w:pPr>
            <w:r>
              <w:t xml:space="preserve">-</w:t>
            </w:r>
          </w:p>
        </w:tc>
        <w:tc>
          <w:tcPr/>
          <w:p>
            <w:pPr>
              <w:pStyle w:val="Compact"/>
              <w:jc w:val="center"/>
            </w:pPr>
            <w:r>
              <w:t xml:space="preserve">R</w:t>
            </w:r>
          </w:p>
        </w:tc>
        <w:tc>
          <w:tcPr/>
          <w:p>
            <w:pPr>
              <w:pStyle w:val="Compact"/>
              <w:jc w:val="center"/>
            </w:pPr>
            <w:r>
              <w:t xml:space="preserve">I</w:t>
            </w:r>
          </w:p>
        </w:tc>
      </w:tr>
      <w:tr>
        <w:tc>
          <w:tcPr/>
          <w:p>
            <w:pPr>
              <w:pStyle w:val="Compact"/>
              <w:jc w:val="left"/>
            </w:pPr>
            <w:r>
              <w:rPr>
                <w:b/>
                <w:bCs/>
              </w:rPr>
              <w:t xml:space="preserve">HMRC Excise Duty Reporting</w:t>
            </w:r>
          </w:p>
        </w:tc>
        <w:tc>
          <w:tcPr/>
          <w:p>
            <w:pPr>
              <w:pStyle w:val="Compact"/>
              <w:jc w:val="center"/>
            </w:pPr>
            <w:r>
              <w:t xml:space="preserve">I</w:t>
            </w:r>
          </w:p>
        </w:tc>
        <w:tc>
          <w:tcPr/>
          <w:p>
            <w:pPr>
              <w:pStyle w:val="Compact"/>
              <w:jc w:val="center"/>
            </w:pPr>
            <w:r>
              <w:t xml:space="preserve">C</w:t>
            </w:r>
          </w:p>
        </w:tc>
        <w:tc>
          <w:tcPr/>
          <w:p>
            <w:pPr>
              <w:pStyle w:val="Compact"/>
              <w:jc w:val="center"/>
            </w:pPr>
            <w:r>
              <w:t xml:space="preserve">C</w:t>
            </w:r>
          </w:p>
        </w:tc>
        <w:tc>
          <w:tcPr/>
          <w:p>
            <w:pPr>
              <w:pStyle w:val="Compact"/>
              <w:jc w:val="center"/>
            </w:pPr>
            <w:r>
              <w:t xml:space="preserve">-</w:t>
            </w:r>
          </w:p>
        </w:tc>
        <w:tc>
          <w:tcPr/>
          <w:p>
            <w:pPr>
              <w:pStyle w:val="Compact"/>
              <w:jc w:val="center"/>
            </w:pPr>
            <w:r>
              <w:rPr>
                <w:b/>
                <w:bCs/>
              </w:rPr>
              <w:t xml:space="preserve">A</w:t>
            </w:r>
          </w:p>
        </w:tc>
        <w:tc>
          <w:tcPr/>
          <w:p>
            <w:pPr>
              <w:pStyle w:val="Compact"/>
              <w:jc w:val="center"/>
            </w:pPr>
            <w:r>
              <w:t xml:space="preserve">I</w:t>
            </w:r>
          </w:p>
        </w:tc>
      </w:tr>
      <w:tr>
        <w:tc>
          <w:tcPr/>
          <w:p>
            <w:pPr>
              <w:pStyle w:val="Compact"/>
              <w:jc w:val="left"/>
            </w:pPr>
            <w:r>
              <w:rPr>
                <w:b/>
                <w:bCs/>
              </w:rPr>
              <w:t xml:space="preserve">Duty of Care (Waste Management)</w:t>
            </w:r>
          </w:p>
        </w:tc>
        <w:tc>
          <w:tcPr/>
          <w:p>
            <w:pPr>
              <w:pStyle w:val="Compact"/>
              <w:jc w:val="center"/>
            </w:pPr>
            <w:r>
              <w:t xml:space="preserve">-</w:t>
            </w:r>
          </w:p>
        </w:tc>
        <w:tc>
          <w:tcPr/>
          <w:p>
            <w:pPr>
              <w:pStyle w:val="Compact"/>
              <w:jc w:val="center"/>
            </w:pPr>
            <w:r>
              <w:rPr>
                <w:b/>
                <w:bCs/>
              </w:rPr>
              <w:t xml:space="preserve">A</w:t>
            </w:r>
          </w:p>
        </w:tc>
        <w:tc>
          <w:tcPr/>
          <w:p>
            <w:pPr>
              <w:pStyle w:val="Compact"/>
              <w:jc w:val="center"/>
            </w:pPr>
            <w:r>
              <w:t xml:space="preserve">R</w:t>
            </w:r>
          </w:p>
        </w:tc>
        <w:tc>
          <w:tcPr/>
          <w:p>
            <w:pPr>
              <w:pStyle w:val="Compact"/>
              <w:jc w:val="center"/>
            </w:pPr>
            <w:r>
              <w:t xml:space="preserve">I</w:t>
            </w:r>
          </w:p>
        </w:tc>
        <w:tc>
          <w:tcPr/>
          <w:p>
            <w:pPr>
              <w:pStyle w:val="Compact"/>
              <w:jc w:val="center"/>
            </w:pPr>
            <w:r>
              <w:t xml:space="preserve">-</w:t>
            </w:r>
          </w:p>
        </w:tc>
        <w:tc>
          <w:tcPr/>
          <w:p>
            <w:pPr>
              <w:pStyle w:val="Compact"/>
              <w:jc w:val="center"/>
            </w:pPr>
            <w:r>
              <w:t xml:space="preserve">R</w:t>
            </w:r>
          </w:p>
        </w:tc>
      </w:tr>
      <w:tr>
        <w:tc>
          <w:tcPr/>
          <w:p>
            <w:pPr>
              <w:pStyle w:val="Compact"/>
              <w:jc w:val="left"/>
            </w:pPr>
            <w:r>
              <w:rPr>
                <w:b/>
                <w:bCs/>
              </w:rPr>
              <w:t xml:space="preserve">REACH / CLP &amp; Chemical Safety</w:t>
            </w:r>
          </w:p>
        </w:tc>
        <w:tc>
          <w:tcPr/>
          <w:p>
            <w:pPr>
              <w:pStyle w:val="Compact"/>
              <w:jc w:val="center"/>
            </w:pPr>
            <w:r>
              <w:t xml:space="preserve">-</w:t>
            </w:r>
          </w:p>
        </w:tc>
        <w:tc>
          <w:tcPr/>
          <w:p>
            <w:pPr>
              <w:pStyle w:val="Compact"/>
              <w:jc w:val="center"/>
            </w:pPr>
            <w:r>
              <w:t xml:space="preserve">R</w:t>
            </w:r>
          </w:p>
        </w:tc>
        <w:tc>
          <w:tcPr/>
          <w:p>
            <w:pPr>
              <w:pStyle w:val="Compact"/>
              <w:jc w:val="center"/>
            </w:pPr>
            <w:r>
              <w:t xml:space="preserve">C</w:t>
            </w:r>
          </w:p>
        </w:tc>
        <w:tc>
          <w:tcPr/>
          <w:p>
            <w:pPr>
              <w:pStyle w:val="Compact"/>
              <w:jc w:val="center"/>
            </w:pPr>
            <w:r>
              <w:rPr>
                <w:b/>
                <w:bCs/>
              </w:rPr>
              <w:t xml:space="preserve">A</w:t>
            </w:r>
          </w:p>
        </w:tc>
        <w:tc>
          <w:tcPr/>
          <w:p>
            <w:pPr>
              <w:pStyle w:val="Compact"/>
              <w:jc w:val="center"/>
            </w:pPr>
            <w:r>
              <w:t xml:space="preserve">-</w:t>
            </w:r>
          </w:p>
        </w:tc>
        <w:tc>
          <w:tcPr/>
          <w:p>
            <w:pPr>
              <w:pStyle w:val="Compact"/>
              <w:jc w:val="center"/>
            </w:pPr>
            <w:r>
              <w:t xml:space="preserve">C</w:t>
            </w:r>
          </w:p>
        </w:tc>
      </w:tr>
      <w:tr>
        <w:tc>
          <w:tcPr/>
          <w:p>
            <w:pPr>
              <w:pStyle w:val="Compact"/>
              <w:jc w:val="left"/>
            </w:pPr>
            <w:r>
              <w:rPr>
                <w:b/>
                <w:bCs/>
              </w:rPr>
              <w:t xml:space="preserve">ADR Transport Compliance</w:t>
            </w:r>
          </w:p>
        </w:tc>
        <w:tc>
          <w:tcPr/>
          <w:p>
            <w:pPr>
              <w:pStyle w:val="Compact"/>
              <w:jc w:val="center"/>
            </w:pPr>
            <w:r>
              <w:t xml:space="preserve">-</w:t>
            </w:r>
          </w:p>
        </w:tc>
        <w:tc>
          <w:tcPr/>
          <w:p>
            <w:pPr>
              <w:pStyle w:val="Compact"/>
              <w:jc w:val="center"/>
            </w:pPr>
            <w:r>
              <w:t xml:space="preserve">R</w:t>
            </w:r>
          </w:p>
        </w:tc>
        <w:tc>
          <w:tcPr/>
          <w:p>
            <w:pPr>
              <w:pStyle w:val="Compact"/>
              <w:jc w:val="center"/>
            </w:pPr>
            <w:r>
              <w:rPr>
                <w:b/>
                <w:bCs/>
              </w:rPr>
              <w:t xml:space="preserve">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I</w:t>
            </w:r>
          </w:p>
        </w:tc>
      </w:tr>
    </w:tbl>
    <w:p>
      <w:pPr>
        <w:pStyle w:val="BodyText"/>
      </w:pPr>
      <w:r>
        <w:rPr>
          <w:b/>
          <w:bCs/>
          <w:i/>
          <w:iCs/>
        </w:rPr>
        <w:t xml:space="preserve">Key:</w:t>
      </w:r>
      <w:r>
        <w:t xml:space="preserve"> </w:t>
      </w:r>
      <w:r>
        <w:rPr>
          <w:b/>
          <w:bCs/>
        </w:rPr>
        <w:t xml:space="preserve">R</w:t>
      </w:r>
      <w:r>
        <w:t xml:space="preserve"> </w:t>
      </w:r>
      <w:r>
        <w:t xml:space="preserve">- Responsible (Does the work);</w:t>
      </w:r>
      <w:r>
        <w:t xml:space="preserve"> </w:t>
      </w:r>
      <w:r>
        <w:rPr>
          <w:b/>
          <w:bCs/>
        </w:rPr>
        <w:t xml:space="preserve">A</w:t>
      </w:r>
      <w:r>
        <w:t xml:space="preserve"> </w:t>
      </w:r>
      <w:r>
        <w:t xml:space="preserve">- Accountable (Owns the work);</w:t>
      </w:r>
      <w:r>
        <w:t xml:space="preserve"> </w:t>
      </w:r>
      <w:r>
        <w:rPr>
          <w:b/>
          <w:bCs/>
        </w:rPr>
        <w:t xml:space="preserve">C</w:t>
      </w:r>
      <w:r>
        <w:t xml:space="preserve"> </w:t>
      </w:r>
      <w:r>
        <w:t xml:space="preserve">- Consulted (Provides input);</w:t>
      </w:r>
      <w:r>
        <w:t xml:space="preserve"> </w:t>
      </w:r>
      <w:r>
        <w:rPr>
          <w:b/>
          <w:bCs/>
        </w:rPr>
        <w:t xml:space="preserve">I</w:t>
      </w:r>
      <w:r>
        <w:t xml:space="preserve"> </w:t>
      </w:r>
      <w:r>
        <w:t xml:space="preserve">- Informed (Kept up-to-date)</w:t>
      </w:r>
    </w:p>
    <w:p>
      <w:r>
        <w:pict>
          <v:rect style="width:0;height:1.5pt" o:hralign="center" o:hrstd="t" o:hr="t"/>
        </w:pict>
      </w:r>
    </w:p>
    <w:bookmarkEnd w:id="29"/>
    <w:bookmarkStart w:id="32" w:name="strategic-considerations-gap-analysis"/>
    <w:p>
      <w:pPr>
        <w:pStyle w:val="Heading2"/>
      </w:pPr>
      <w:r>
        <w:rPr>
          <w:b/>
          <w:bCs/>
        </w:rPr>
        <w:t xml:space="preserve">4. Strategic Considerations &amp; Gap Analysis</w:t>
      </w:r>
    </w:p>
    <w:bookmarkStart w:id="30" w:name="key-strategic-risks"/>
    <w:p>
      <w:pPr>
        <w:pStyle w:val="Heading3"/>
      </w:pPr>
      <w:r>
        <w:rPr>
          <w:b/>
          <w:bCs/>
        </w:rPr>
        <w:t xml:space="preserve">Key Strategic Risks</w:t>
      </w:r>
    </w:p>
    <w:p>
      <w:pPr>
        <w:pStyle w:val="Compact"/>
        <w:numPr>
          <w:ilvl w:val="0"/>
          <w:numId w:val="1002"/>
        </w:numPr>
      </w:pPr>
      <w:r>
        <w:rPr>
          <w:b/>
          <w:bCs/>
        </w:rPr>
        <w:t xml:space="preserve">Feedstock Fraud (Biodiesel):</w:t>
      </w:r>
      <w:r>
        <w:t xml:space="preserve"> </w:t>
      </w:r>
      <w:r>
        <w:t xml:space="preserve">The economic incentive for double-counting UCO creates a high risk of fraudulent supply chains (e.g., virgin palm oil mislabelled as UCO).</w:t>
      </w:r>
    </w:p>
    <w:p>
      <w:pPr>
        <w:pStyle w:val="Compact"/>
        <w:numPr>
          <w:ilvl w:val="1"/>
          <w:numId w:val="1003"/>
        </w:numPr>
      </w:pPr>
      <w:r>
        <w:rPr>
          <w:b/>
          <w:bCs/>
        </w:rPr>
        <w:t xml:space="preserve">Mitigation:</w:t>
      </w:r>
      <w:r>
        <w:t xml:space="preserve"> </w:t>
      </w:r>
      <w:r>
        <w:rPr>
          <w:b/>
          <w:bCs/>
        </w:rPr>
        <w:t xml:space="preserve">Do not rely solely on supplier self-declarations.</w:t>
      </w:r>
      <w:r>
        <w:t xml:space="preserve"> </w:t>
      </w:r>
      <w:r>
        <w:t xml:space="preserve">Mandate ISCC certification for all suppliers, conduct rigorous due diligence, scrutinize PoO audits, and consider periodic independent lab testing of incoming feedstock to verify FFA content and other markers.</w:t>
      </w:r>
    </w:p>
    <w:p>
      <w:pPr>
        <w:pStyle w:val="Compact"/>
        <w:numPr>
          <w:ilvl w:val="0"/>
          <w:numId w:val="1002"/>
        </w:numPr>
      </w:pPr>
      <w:r>
        <w:rPr>
          <w:b/>
          <w:bCs/>
        </w:rPr>
        <w:t xml:space="preserve">Regulatory Evolution:</w:t>
      </w:r>
      <w:r>
        <w:t xml:space="preserve"> </w:t>
      </w:r>
      <w:r>
        <w:t xml:space="preserve">The regulatory landscape, particularly for renewables (RED III) and waste, is constantly changing.</w:t>
      </w:r>
    </w:p>
    <w:p>
      <w:pPr>
        <w:pStyle w:val="Compact"/>
        <w:numPr>
          <w:ilvl w:val="1"/>
          <w:numId w:val="1004"/>
        </w:numPr>
      </w:pPr>
      <w:r>
        <w:rPr>
          <w:b/>
          <w:bCs/>
        </w:rPr>
        <w:t xml:space="preserve">Mitigation:</w:t>
      </w:r>
      <w:r>
        <w:t xml:space="preserve"> </w:t>
      </w:r>
      <w:r>
        <w:t xml:space="preserve">The Compliance Officer must actively monitor regulatory updates from the EA, DfT, HSE, and EU bodies. A subscription to a professional regulatory update service is recommended.</w:t>
      </w:r>
    </w:p>
    <w:p>
      <w:pPr>
        <w:pStyle w:val="Compact"/>
        <w:numPr>
          <w:ilvl w:val="0"/>
          <w:numId w:val="1002"/>
        </w:numPr>
      </w:pPr>
      <w:r>
        <w:rPr>
          <w:b/>
          <w:bCs/>
        </w:rPr>
        <w:t xml:space="preserve">Permit Breach:</w:t>
      </w:r>
      <w:r>
        <w:t xml:space="preserve"> </w:t>
      </w:r>
      <w:r>
        <w:t xml:space="preserve">Failure to adhere to Environmental Permit conditions (e.g., emissions limits, odour complaints) can lead to enforcement action, fines, and reputational damage.</w:t>
      </w:r>
    </w:p>
    <w:p>
      <w:pPr>
        <w:pStyle w:val="Compact"/>
        <w:numPr>
          <w:ilvl w:val="1"/>
          <w:numId w:val="1005"/>
        </w:numPr>
      </w:pPr>
      <w:r>
        <w:rPr>
          <w:b/>
          <w:bCs/>
        </w:rPr>
        <w:t xml:space="preserve">Mitigation:</w:t>
      </w:r>
      <w:r>
        <w:t xml:space="preserve"> </w:t>
      </w:r>
      <w:r>
        <w:t xml:space="preserve">Implement robust operational controls and monitoring linked directly to permit conditions. Ensure the EMS is a live system, not just a document. The</w:t>
      </w:r>
      <w:r>
        <w:t xml:space="preserve"> </w:t>
      </w:r>
      <w:r>
        <w:t xml:space="preserve">“</w:t>
      </w:r>
      <w:r>
        <w:t xml:space="preserve">Evidence Register</w:t>
      </w:r>
      <w:r>
        <w:t xml:space="preserve">”</w:t>
      </w:r>
      <w:r>
        <w:t xml:space="preserve"> </w:t>
      </w:r>
      <w:r>
        <w:t xml:space="preserve">below is a key tool for this.</w:t>
      </w:r>
    </w:p>
    <w:bookmarkEnd w:id="30"/>
    <w:bookmarkStart w:id="31" w:name="compliance-gap-analysis-checklist"/>
    <w:p>
      <w:pPr>
        <w:pStyle w:val="Heading3"/>
      </w:pPr>
      <w:r>
        <w:rPr>
          <w:b/>
          <w:bCs/>
        </w:rPr>
        <w:t xml:space="preserve">Compliance Gap Analysis Checklist</w:t>
      </w:r>
    </w:p>
    <w:p>
      <w:pPr>
        <w:pStyle w:val="FirstParagraph"/>
      </w:pPr>
      <w:r>
        <w:t xml:space="preserve">This checklist is a high-level tool to track readiness against major compliance milestones.</w:t>
      </w:r>
    </w:p>
    <w:tbl>
      <w:tblPr>
        <w:tblStyle w:val="Table"/>
        <w:tblW w:type="pct" w:w="5000"/>
        <w:jc w:val="left"/>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Category</w:t>
            </w:r>
          </w:p>
        </w:tc>
        <w:tc>
          <w:tcPr/>
          <w:p>
            <w:pPr>
              <w:pStyle w:val="Compact"/>
              <w:jc w:val="left"/>
            </w:pPr>
            <w:r>
              <w:t xml:space="preserve">Item</w:t>
            </w:r>
          </w:p>
        </w:tc>
        <w:tc>
          <w:tcPr/>
          <w:p>
            <w:pPr>
              <w:pStyle w:val="Compact"/>
              <w:jc w:val="left"/>
            </w:pPr>
            <w:r>
              <w:t xml:space="preserve">Status (Not Started / In Progress / Complete)</w:t>
            </w:r>
          </w:p>
        </w:tc>
        <w:tc>
          <w:tcPr/>
          <w:p>
            <w:pPr>
              <w:pStyle w:val="Compact"/>
              <w:jc w:val="left"/>
            </w:pPr>
            <w:r>
              <w:t xml:space="preserve">Notes / [Placeholder for Date]</w:t>
            </w:r>
          </w:p>
        </w:tc>
      </w:tr>
      <w:tr>
        <w:tc>
          <w:tcPr/>
          <w:p>
            <w:pPr>
              <w:pStyle w:val="Compact"/>
              <w:jc w:val="left"/>
            </w:pPr>
            <w:r>
              <w:rPr>
                <w:b/>
                <w:bCs/>
              </w:rPr>
              <w:t xml:space="preserve">Permitting &amp; Approvals</w:t>
            </w:r>
          </w:p>
        </w:tc>
        <w:tc>
          <w:tcPr/>
          <w:p>
            <w:pPr>
              <w:pStyle w:val="Compact"/>
              <w:jc w:val="left"/>
            </w:pPr>
            <w:r>
              <w:t xml:space="preserve">Biogas Environmental Permit Granted</w:t>
            </w:r>
          </w:p>
        </w:tc>
        <w:tc>
          <w:tcPr/>
          <w:p>
            <w:pPr>
              <w:pStyle w:val="Compact"/>
            </w:pPr>
          </w:p>
        </w:tc>
        <w:tc>
          <w:tcPr/>
          <w:p>
            <w:pPr>
              <w:pStyle w:val="Compact"/>
            </w:pPr>
          </w:p>
        </w:tc>
      </w:tr>
      <w:tr>
        <w:tc>
          <w:tcPr/>
          <w:p>
            <w:pPr>
              <w:pStyle w:val="Compact"/>
            </w:pPr>
          </w:p>
        </w:tc>
        <w:tc>
          <w:tcPr/>
          <w:p>
            <w:pPr>
              <w:pStyle w:val="Compact"/>
              <w:jc w:val="left"/>
            </w:pPr>
            <w:r>
              <w:t xml:space="preserve">APHA Site Approval for ABP Processing Granted</w:t>
            </w:r>
          </w:p>
        </w:tc>
        <w:tc>
          <w:tcPr/>
          <w:p>
            <w:pPr>
              <w:pStyle w:val="Compact"/>
            </w:pPr>
          </w:p>
        </w:tc>
        <w:tc>
          <w:tcPr/>
          <w:p>
            <w:pPr>
              <w:pStyle w:val="Compact"/>
            </w:pPr>
          </w:p>
        </w:tc>
      </w:tr>
      <w:tr>
        <w:tc>
          <w:tcPr/>
          <w:p>
            <w:pPr>
              <w:pStyle w:val="Compact"/>
            </w:pPr>
          </w:p>
        </w:tc>
        <w:tc>
          <w:tcPr/>
          <w:p>
            <w:pPr>
              <w:pStyle w:val="Compact"/>
              <w:jc w:val="left"/>
            </w:pPr>
            <w:r>
              <w:t xml:space="preserve">Biodiesel Environmental Permit Granted</w:t>
            </w:r>
          </w:p>
        </w:tc>
        <w:tc>
          <w:tcPr/>
          <w:p>
            <w:pPr>
              <w:pStyle w:val="Compact"/>
            </w:pPr>
          </w:p>
        </w:tc>
        <w:tc>
          <w:tcPr/>
          <w:p>
            <w:pPr>
              <w:pStyle w:val="Compact"/>
            </w:pPr>
          </w:p>
        </w:tc>
      </w:tr>
      <w:tr>
        <w:tc>
          <w:tcPr/>
          <w:p>
            <w:pPr>
              <w:pStyle w:val="Compact"/>
            </w:pPr>
          </w:p>
        </w:tc>
        <w:tc>
          <w:tcPr/>
          <w:p>
            <w:pPr>
              <w:pStyle w:val="Compact"/>
              <w:jc w:val="left"/>
            </w:pPr>
            <w:r>
              <w:t xml:space="preserve">HMRC Approval as Biofuels Producer Granted</w:t>
            </w:r>
          </w:p>
        </w:tc>
        <w:tc>
          <w:tcPr/>
          <w:p>
            <w:pPr>
              <w:pStyle w:val="Compact"/>
            </w:pPr>
          </w:p>
        </w:tc>
        <w:tc>
          <w:tcPr/>
          <w:p>
            <w:pPr>
              <w:pStyle w:val="Compact"/>
            </w:pPr>
          </w:p>
        </w:tc>
      </w:tr>
      <w:tr>
        <w:tc>
          <w:tcPr/>
          <w:p>
            <w:pPr>
              <w:pStyle w:val="Compact"/>
              <w:jc w:val="left"/>
            </w:pPr>
            <w:r>
              <w:rPr>
                <w:b/>
                <w:bCs/>
              </w:rPr>
              <w:t xml:space="preserve">Operational Systems</w:t>
            </w:r>
          </w:p>
        </w:tc>
        <w:tc>
          <w:tcPr/>
          <w:p>
            <w:pPr>
              <w:pStyle w:val="Compact"/>
              <w:jc w:val="left"/>
            </w:pPr>
            <w:r>
              <w:t xml:space="preserve">Biogas DSEAR Risk Assessment Completed &amp; Signed Off</w:t>
            </w:r>
          </w:p>
        </w:tc>
        <w:tc>
          <w:tcPr/>
          <w:p>
            <w:pPr>
              <w:pStyle w:val="Compact"/>
            </w:pPr>
          </w:p>
        </w:tc>
        <w:tc>
          <w:tcPr/>
          <w:p>
            <w:pPr>
              <w:pStyle w:val="Compact"/>
            </w:pPr>
          </w:p>
        </w:tc>
      </w:tr>
      <w:tr>
        <w:tc>
          <w:tcPr/>
          <w:p>
            <w:pPr>
              <w:pStyle w:val="Compact"/>
            </w:pPr>
          </w:p>
        </w:tc>
        <w:tc>
          <w:tcPr/>
          <w:p>
            <w:pPr>
              <w:pStyle w:val="Compact"/>
              <w:jc w:val="left"/>
            </w:pPr>
            <w:r>
              <w:t xml:space="preserve">Biogas Hazardous Area Classification Drawings Finalised</w:t>
            </w:r>
          </w:p>
        </w:tc>
        <w:tc>
          <w:tcPr/>
          <w:p>
            <w:pPr>
              <w:pStyle w:val="Compact"/>
            </w:pPr>
          </w:p>
        </w:tc>
        <w:tc>
          <w:tcPr/>
          <w:p>
            <w:pPr>
              <w:pStyle w:val="Compact"/>
            </w:pPr>
          </w:p>
        </w:tc>
      </w:tr>
      <w:tr>
        <w:tc>
          <w:tcPr/>
          <w:p>
            <w:pPr>
              <w:pStyle w:val="Compact"/>
            </w:pPr>
          </w:p>
        </w:tc>
        <w:tc>
          <w:tcPr/>
          <w:p>
            <w:pPr>
              <w:pStyle w:val="Compact"/>
              <w:jc w:val="left"/>
            </w:pPr>
            <w:r>
              <w:t xml:space="preserve">Biodiesel DSEAR/Chemical Risk Assessment Completed</w:t>
            </w:r>
          </w:p>
        </w:tc>
        <w:tc>
          <w:tcPr/>
          <w:p>
            <w:pPr>
              <w:pStyle w:val="Compact"/>
            </w:pPr>
          </w:p>
        </w:tc>
        <w:tc>
          <w:tcPr/>
          <w:p>
            <w:pPr>
              <w:pStyle w:val="Compact"/>
            </w:pPr>
          </w:p>
        </w:tc>
      </w:tr>
      <w:tr>
        <w:tc>
          <w:tcPr/>
          <w:p>
            <w:pPr>
              <w:pStyle w:val="Compact"/>
            </w:pPr>
          </w:p>
        </w:tc>
        <w:tc>
          <w:tcPr/>
          <w:p>
            <w:pPr>
              <w:pStyle w:val="Compact"/>
              <w:jc w:val="left"/>
            </w:pPr>
            <w:r>
              <w:t xml:space="preserve">HSWA Policy Published &amp; Communicated to all staff</w:t>
            </w:r>
          </w:p>
        </w:tc>
        <w:tc>
          <w:tcPr/>
          <w:p>
            <w:pPr>
              <w:pStyle w:val="Compact"/>
            </w:pPr>
          </w:p>
        </w:tc>
        <w:tc>
          <w:tcPr/>
          <w:p>
            <w:pPr>
              <w:pStyle w:val="Compact"/>
            </w:pPr>
          </w:p>
        </w:tc>
      </w:tr>
      <w:tr>
        <w:tc>
          <w:tcPr/>
          <w:p>
            <w:pPr>
              <w:pStyle w:val="Compact"/>
            </w:pPr>
          </w:p>
        </w:tc>
        <w:tc>
          <w:tcPr/>
          <w:p>
            <w:pPr>
              <w:pStyle w:val="Compact"/>
              <w:jc w:val="left"/>
            </w:pPr>
            <w:r>
              <w:t xml:space="preserve">REACH/CLP Chemical Inventory Completed &amp; SDS Library established</w:t>
            </w:r>
          </w:p>
        </w:tc>
        <w:tc>
          <w:tcPr/>
          <w:p>
            <w:pPr>
              <w:pStyle w:val="Compact"/>
            </w:pPr>
          </w:p>
        </w:tc>
        <w:tc>
          <w:tcPr/>
          <w:p>
            <w:pPr>
              <w:pStyle w:val="Compact"/>
            </w:pPr>
          </w:p>
        </w:tc>
      </w:tr>
      <w:tr>
        <w:tc>
          <w:tcPr/>
          <w:p>
            <w:pPr>
              <w:pStyle w:val="Compact"/>
              <w:jc w:val="left"/>
            </w:pPr>
            <w:r>
              <w:rPr>
                <w:b/>
                <w:bCs/>
              </w:rPr>
              <w:t xml:space="preserve">Quality &amp; Certification</w:t>
            </w:r>
          </w:p>
        </w:tc>
        <w:tc>
          <w:tcPr/>
          <w:p>
            <w:pPr>
              <w:pStyle w:val="Compact"/>
              <w:jc w:val="left"/>
            </w:pPr>
            <w:r>
              <w:t xml:space="preserve">PAS 110 QMS / HACCP Plan Implemented for Biogas</w:t>
            </w:r>
          </w:p>
        </w:tc>
        <w:tc>
          <w:tcPr/>
          <w:p>
            <w:pPr>
              <w:pStyle w:val="Compact"/>
            </w:pPr>
          </w:p>
        </w:tc>
        <w:tc>
          <w:tcPr/>
          <w:p>
            <w:pPr>
              <w:pStyle w:val="Compact"/>
            </w:pPr>
          </w:p>
        </w:tc>
      </w:tr>
      <w:tr>
        <w:tc>
          <w:tcPr/>
          <w:p>
            <w:pPr>
              <w:pStyle w:val="Compact"/>
            </w:pPr>
          </w:p>
        </w:tc>
        <w:tc>
          <w:tcPr/>
          <w:p>
            <w:pPr>
              <w:pStyle w:val="Compact"/>
              <w:jc w:val="left"/>
            </w:pPr>
            <w:r>
              <w:t xml:space="preserve">Enrolled in Biofertiliser Certification Scheme</w:t>
            </w:r>
          </w:p>
        </w:tc>
        <w:tc>
          <w:tcPr/>
          <w:p>
            <w:pPr>
              <w:pStyle w:val="Compact"/>
            </w:pPr>
          </w:p>
        </w:tc>
        <w:tc>
          <w:tcPr/>
          <w:p>
            <w:pPr>
              <w:pStyle w:val="Compact"/>
            </w:pPr>
          </w:p>
        </w:tc>
      </w:tr>
      <w:tr>
        <w:tc>
          <w:tcPr/>
          <w:p>
            <w:pPr>
              <w:pStyle w:val="Compact"/>
            </w:pPr>
          </w:p>
        </w:tc>
        <w:tc>
          <w:tcPr/>
          <w:p>
            <w:pPr>
              <w:pStyle w:val="Compact"/>
              <w:jc w:val="left"/>
            </w:pPr>
            <w:r>
              <w:t xml:space="preserve">ISCC Certification Achieved for Biodiesel Facility</w:t>
            </w:r>
          </w:p>
        </w:tc>
        <w:tc>
          <w:tcPr/>
          <w:p>
            <w:pPr>
              <w:pStyle w:val="Compact"/>
            </w:pPr>
          </w:p>
        </w:tc>
        <w:tc>
          <w:tcPr/>
          <w:p>
            <w:pPr>
              <w:pStyle w:val="Compact"/>
            </w:pPr>
          </w:p>
        </w:tc>
      </w:tr>
      <w:tr>
        <w:tc>
          <w:tcPr/>
          <w:p>
            <w:pPr>
              <w:pStyle w:val="Compact"/>
            </w:pPr>
          </w:p>
        </w:tc>
        <w:tc>
          <w:tcPr/>
          <w:p>
            <w:pPr>
              <w:pStyle w:val="Compact"/>
              <w:jc w:val="left"/>
            </w:pPr>
            <w:r>
              <w:t xml:space="preserve">EN 14214 QC Procedure and Lab Capability established</w:t>
            </w:r>
          </w:p>
        </w:tc>
        <w:tc>
          <w:tcPr/>
          <w:p>
            <w:pPr>
              <w:pStyle w:val="Compact"/>
            </w:pPr>
          </w:p>
        </w:tc>
        <w:tc>
          <w:tcPr/>
          <w:p>
            <w:pPr>
              <w:pStyle w:val="Compact"/>
            </w:pPr>
          </w:p>
        </w:tc>
      </w:tr>
      <w:tr>
        <w:tc>
          <w:tcPr/>
          <w:p>
            <w:pPr>
              <w:pStyle w:val="Compact"/>
              <w:jc w:val="left"/>
            </w:pPr>
            <w:r>
              <w:rPr>
                <w:b/>
                <w:bCs/>
              </w:rPr>
              <w:t xml:space="preserve">Commercial &amp; Market</w:t>
            </w:r>
          </w:p>
        </w:tc>
        <w:tc>
          <w:tcPr/>
          <w:p>
            <w:pPr>
              <w:pStyle w:val="Compact"/>
              <w:jc w:val="left"/>
            </w:pPr>
            <w:r>
              <w:t xml:space="preserve">G99 Connection Agreement / FON Received from DNO</w:t>
            </w:r>
          </w:p>
        </w:tc>
        <w:tc>
          <w:tcPr/>
          <w:p>
            <w:pPr>
              <w:pStyle w:val="Compact"/>
            </w:pPr>
          </w:p>
        </w:tc>
        <w:tc>
          <w:tcPr/>
          <w:p>
            <w:pPr>
              <w:pStyle w:val="Compact"/>
            </w:pPr>
          </w:p>
        </w:tc>
      </w:tr>
      <w:tr>
        <w:tc>
          <w:tcPr/>
          <w:p>
            <w:pPr>
              <w:pStyle w:val="Compact"/>
            </w:pPr>
          </w:p>
        </w:tc>
        <w:tc>
          <w:tcPr/>
          <w:p>
            <w:pPr>
              <w:pStyle w:val="Compact"/>
              <w:jc w:val="left"/>
            </w:pPr>
            <w:r>
              <w:t xml:space="preserve">GS(M)R Network Entry Agreement Executed (if applicable)</w:t>
            </w:r>
          </w:p>
        </w:tc>
        <w:tc>
          <w:tcPr/>
          <w:p>
            <w:pPr>
              <w:pStyle w:val="Compact"/>
            </w:pPr>
          </w:p>
        </w:tc>
        <w:tc>
          <w:tcPr/>
          <w:p>
            <w:pPr>
              <w:pStyle w:val="Compact"/>
            </w:pPr>
          </w:p>
        </w:tc>
      </w:tr>
      <w:tr>
        <w:tc>
          <w:tcPr/>
          <w:p>
            <w:pPr>
              <w:pStyle w:val="Compact"/>
            </w:pPr>
          </w:p>
        </w:tc>
        <w:tc>
          <w:tcPr/>
          <w:p>
            <w:pPr>
              <w:pStyle w:val="Compact"/>
              <w:jc w:val="left"/>
            </w:pPr>
            <w:r>
              <w:t xml:space="preserve">Registered with DfT for RTFO Reporting</w:t>
            </w:r>
          </w:p>
        </w:tc>
        <w:tc>
          <w:tcPr/>
          <w:p>
            <w:pPr>
              <w:pStyle w:val="Compact"/>
            </w:pPr>
          </w:p>
        </w:tc>
        <w:tc>
          <w:tcPr/>
          <w:p>
            <w:pPr>
              <w:pStyle w:val="Compact"/>
            </w:pPr>
          </w:p>
        </w:tc>
      </w:tr>
      <w:tr>
        <w:tc>
          <w:tcPr/>
          <w:p>
            <w:pPr>
              <w:pStyle w:val="Compact"/>
            </w:pPr>
          </w:p>
        </w:tc>
        <w:tc>
          <w:tcPr/>
          <w:p>
            <w:pPr>
              <w:pStyle w:val="Compact"/>
              <w:jc w:val="left"/>
            </w:pPr>
            <w:r>
              <w:t xml:space="preserve">Independent Verifier for RTFO Appointed</w:t>
            </w:r>
          </w:p>
        </w:tc>
        <w:tc>
          <w:tcPr/>
          <w:p>
            <w:pPr>
              <w:pStyle w:val="Compact"/>
            </w:pPr>
          </w:p>
        </w:tc>
        <w:tc>
          <w:tcPr/>
          <w:p>
            <w:pPr>
              <w:pStyle w:val="Compact"/>
            </w:pPr>
          </w:p>
        </w:tc>
      </w:tr>
      <w:tr>
        <w:tc>
          <w:tcPr/>
          <w:p>
            <w:pPr>
              <w:pStyle w:val="Compact"/>
            </w:pPr>
          </w:p>
        </w:tc>
        <w:tc>
          <w:tcPr/>
          <w:p>
            <w:pPr>
              <w:pStyle w:val="Compact"/>
              <w:jc w:val="left"/>
            </w:pPr>
            <w:r>
              <w:t xml:space="preserve">ADR Transport Procedures Confirmed &amp; Implemented</w:t>
            </w:r>
          </w:p>
        </w:tc>
        <w:tc>
          <w:tcPr/>
          <w:p>
            <w:pPr>
              <w:pStyle w:val="Compact"/>
            </w:pPr>
          </w:p>
        </w:tc>
        <w:tc>
          <w:tcPr/>
          <w:p>
            <w:pPr>
              <w:pStyle w:val="Compact"/>
            </w:pPr>
          </w:p>
        </w:tc>
      </w:tr>
    </w:tbl>
    <w:p>
      <w:r>
        <w:pict>
          <v:rect style="width:0;height:1.5pt" o:hralign="center" o:hrstd="t" o:hr="t"/>
        </w:pict>
      </w:r>
    </w:p>
    <w:bookmarkEnd w:id="31"/>
    <w:bookmarkEnd w:id="32"/>
    <w:bookmarkStart w:id="33" w:name="live-evidence-register-template"/>
    <w:p>
      <w:pPr>
        <w:pStyle w:val="Heading2"/>
      </w:pPr>
      <w:r>
        <w:rPr>
          <w:b/>
          <w:bCs/>
        </w:rPr>
        <w:t xml:space="preserve">5. Live Evidence Register (Template)</w:t>
      </w:r>
    </w:p>
    <w:p>
      <w:pPr>
        <w:pStyle w:val="FirstParagraph"/>
      </w:pPr>
      <w:r>
        <w:t xml:space="preserve">This template should be maintained as a live document to provide a clear, auditable trail of compliance evidence.</w:t>
      </w:r>
    </w:p>
    <w:tbl>
      <w:tblPr>
        <w:tblStyle w:val="Table"/>
        <w:tblW w:type="pct" w:w="5000"/>
        <w:jc w:val="left"/>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Compliance Area</w:t>
            </w:r>
          </w:p>
        </w:tc>
        <w:tc>
          <w:tcPr/>
          <w:p>
            <w:pPr>
              <w:pStyle w:val="Compact"/>
              <w:jc w:val="left"/>
            </w:pPr>
            <w:r>
              <w:t xml:space="preserve">Regulation / Standard</w:t>
            </w:r>
          </w:p>
        </w:tc>
        <w:tc>
          <w:tcPr/>
          <w:p>
            <w:pPr>
              <w:pStyle w:val="Compact"/>
              <w:jc w:val="left"/>
            </w:pPr>
            <w:r>
              <w:t xml:space="preserve">Evidence Required</w:t>
            </w:r>
          </w:p>
        </w:tc>
        <w:tc>
          <w:tcPr/>
          <w:p>
            <w:pPr>
              <w:pStyle w:val="Compact"/>
              <w:jc w:val="left"/>
            </w:pPr>
            <w:r>
              <w:t xml:space="preserve">Evidence Location</w:t>
            </w:r>
          </w:p>
        </w:tc>
        <w:tc>
          <w:tcPr/>
          <w:p>
            <w:pPr>
              <w:pStyle w:val="Compact"/>
              <w:jc w:val="left"/>
            </w:pPr>
            <w:r>
              <w:t xml:space="preserve">Review Date</w:t>
            </w:r>
          </w:p>
        </w:tc>
        <w:tc>
          <w:tcPr/>
          <w:p>
            <w:pPr>
              <w:pStyle w:val="Compact"/>
              <w:jc w:val="left"/>
            </w:pPr>
            <w:r>
              <w:t xml:space="preserve">Status (Compliant / Action Required)</w:t>
            </w:r>
          </w:p>
        </w:tc>
      </w:tr>
      <w:tr>
        <w:tc>
          <w:tcPr/>
          <w:p>
            <w:pPr>
              <w:pStyle w:val="Compact"/>
              <w:jc w:val="left"/>
            </w:pPr>
            <w:r>
              <w:rPr>
                <w:b/>
                <w:bCs/>
              </w:rPr>
              <w:t xml:space="preserve">Example: Odour Mgt.</w:t>
            </w:r>
          </w:p>
        </w:tc>
        <w:tc>
          <w:tcPr/>
          <w:p>
            <w:pPr>
              <w:pStyle w:val="Compact"/>
              <w:jc w:val="left"/>
            </w:pPr>
            <w:r>
              <w:t xml:space="preserve">Environmental Permit, Condition 3.3.1</w:t>
            </w:r>
          </w:p>
        </w:tc>
        <w:tc>
          <w:tcPr/>
          <w:p>
            <w:pPr>
              <w:pStyle w:val="Compact"/>
              <w:jc w:val="left"/>
            </w:pPr>
            <w:r>
              <w:t xml:space="preserve">Daily odour checks log; Complaint investigation records; OMP annual review minutes.</w:t>
            </w:r>
          </w:p>
        </w:tc>
        <w:tc>
          <w:tcPr/>
          <w:p>
            <w:pPr>
              <w:pStyle w:val="Compact"/>
              <w:jc w:val="left"/>
            </w:pPr>
            <w:r>
              <w:t xml:space="preserve">Digital:</w:t>
            </w:r>
            <w:r>
              <w:t xml:space="preserve"> </w:t>
            </w:r>
            <w:r>
              <w:rPr>
                <w:rStyle w:val="VerbatimChar"/>
              </w:rPr>
              <w:t xml:space="preserve">S:\Compliance\Permit\Odour</w:t>
            </w:r>
          </w:p>
        </w:tc>
        <w:tc>
          <w:tcPr/>
          <w:p>
            <w:pPr>
              <w:pStyle w:val="Compact"/>
              <w:jc w:val="left"/>
            </w:pPr>
            <w:r>
              <w:t xml:space="preserve">[Placeholder]</w:t>
            </w:r>
          </w:p>
        </w:tc>
        <w:tc>
          <w:tcPr/>
          <w:p>
            <w:pPr>
              <w:pStyle w:val="Compact"/>
              <w:jc w:val="left"/>
            </w:pPr>
            <w:r>
              <w:t xml:space="preserve">Compliant</w:t>
            </w:r>
          </w:p>
        </w:tc>
      </w:tr>
      <w:tr>
        <w:tc>
          <w:tcPr/>
          <w:p>
            <w:pPr>
              <w:pStyle w:val="Compact"/>
              <w:jc w:val="left"/>
            </w:pPr>
            <w:r>
              <w:rPr>
                <w:b/>
                <w:bCs/>
              </w:rPr>
              <w:t xml:space="preserve">Example: Feedstock</w:t>
            </w:r>
          </w:p>
        </w:tc>
        <w:tc>
          <w:tcPr/>
          <w:p>
            <w:pPr>
              <w:pStyle w:val="Compact"/>
              <w:jc w:val="left"/>
            </w:pPr>
            <w:r>
              <w:t xml:space="preserve">ISCC EU, Principle 2.2</w:t>
            </w:r>
          </w:p>
        </w:tc>
        <w:tc>
          <w:tcPr/>
          <w:p>
            <w:pPr>
              <w:pStyle w:val="Compact"/>
              <w:jc w:val="left"/>
            </w:pPr>
            <w:r>
              <w:t xml:space="preserve">Supplier ISCC certificates; Incoming PoS documents; Mass balance spreadsheet.</w:t>
            </w:r>
          </w:p>
        </w:tc>
        <w:tc>
          <w:tcPr/>
          <w:p>
            <w:pPr>
              <w:pStyle w:val="Compact"/>
              <w:jc w:val="left"/>
            </w:pPr>
            <w:r>
              <w:t xml:space="preserve">Digital:</w:t>
            </w:r>
            <w:r>
              <w:t xml:space="preserve"> </w:t>
            </w:r>
            <w:r>
              <w:rPr>
                <w:rStyle w:val="VerbatimChar"/>
              </w:rPr>
              <w:t xml:space="preserve">S:\Compliance\ISCC\Audits</w:t>
            </w:r>
          </w:p>
        </w:tc>
        <w:tc>
          <w:tcPr/>
          <w:p>
            <w:pPr>
              <w:pStyle w:val="Compact"/>
              <w:jc w:val="left"/>
            </w:pPr>
            <w:r>
              <w:t xml:space="preserve">[Placeholder]</w:t>
            </w:r>
          </w:p>
        </w:tc>
        <w:tc>
          <w:tcPr/>
          <w:p>
            <w:pPr>
              <w:pStyle w:val="Compact"/>
              <w:jc w:val="left"/>
            </w:pPr>
            <w:r>
              <w:t xml:space="preserve">Compliant</w:t>
            </w:r>
          </w:p>
        </w:tc>
      </w:tr>
      <w:tr>
        <w:tc>
          <w:tcPr/>
          <w:p>
            <w:pPr>
              <w:pStyle w:val="Compact"/>
              <w:jc w:val="left"/>
            </w:pPr>
            <w:r>
              <w:rPr>
                <w:b/>
                <w:bCs/>
              </w:rPr>
              <w:t xml:space="preserve">Example: Safety</w:t>
            </w:r>
          </w:p>
        </w:tc>
        <w:tc>
          <w:tcPr/>
          <w:p>
            <w:pPr>
              <w:pStyle w:val="Compact"/>
              <w:jc w:val="left"/>
            </w:pPr>
            <w:r>
              <w:t xml:space="preserve">DSEAR, Reg 5</w:t>
            </w:r>
          </w:p>
        </w:tc>
        <w:tc>
          <w:tcPr/>
          <w:p>
            <w:pPr>
              <w:pStyle w:val="Compact"/>
              <w:jc w:val="left"/>
            </w:pPr>
            <w:r>
              <w:t xml:space="preserve">DSEAR Risk Assessment report; Hazardous Area Classification drawings.</w:t>
            </w:r>
          </w:p>
        </w:tc>
        <w:tc>
          <w:tcPr/>
          <w:p>
            <w:pPr>
              <w:pStyle w:val="Compact"/>
              <w:jc w:val="left"/>
            </w:pPr>
            <w:r>
              <w:t xml:space="preserve">Digital:</w:t>
            </w:r>
            <w:r>
              <w:t xml:space="preserve"> </w:t>
            </w:r>
            <w:r>
              <w:rPr>
                <w:rStyle w:val="VerbatimChar"/>
              </w:rPr>
              <w:t xml:space="preserve">S:\HealthSafety\DSEAR</w:t>
            </w:r>
          </w:p>
        </w:tc>
        <w:tc>
          <w:tcPr/>
          <w:p>
            <w:pPr>
              <w:pStyle w:val="Compact"/>
              <w:jc w:val="left"/>
            </w:pPr>
            <w:r>
              <w:t xml:space="preserve">[Placeholder]</w:t>
            </w:r>
          </w:p>
        </w:tc>
        <w:tc>
          <w:tcPr/>
          <w:p>
            <w:pPr>
              <w:pStyle w:val="Compact"/>
              <w:jc w:val="left"/>
            </w:pPr>
            <w:r>
              <w:t xml:space="preserve">Compliant</w:t>
            </w:r>
          </w:p>
        </w:tc>
      </w:tr>
      <w:tr>
        <w:tc>
          <w:tcPr/>
          <w:p>
            <w:pPr>
              <w:pStyle w:val="Compact"/>
              <w:jc w:val="left"/>
            </w:pPr>
            <w:r>
              <w:rPr>
                <w:b/>
                <w:bCs/>
              </w:rPr>
              <w:t xml:space="preserve">[Placeholder]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b/>
                <w:bCs/>
              </w:rPr>
              <w:t xml:space="preserve">[Placeholder]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b/>
                <w:bCs/>
              </w:rPr>
              <w:t xml:space="preserve">[Placeholder]</w:t>
            </w:r>
          </w:p>
        </w:tc>
        <w:tc>
          <w:tcPr/>
          <w:p>
            <w:pPr>
              <w:pStyle w:val="Compact"/>
            </w:pPr>
          </w:p>
        </w:tc>
        <w:tc>
          <w:tcPr/>
          <w:p>
            <w:pPr>
              <w:pStyle w:val="Compact"/>
            </w:pPr>
          </w:p>
        </w:tc>
        <w:tc>
          <w:tcPr/>
          <w:p>
            <w:pPr>
              <w:pStyle w:val="Compact"/>
            </w:pPr>
          </w:p>
        </w:tc>
        <w:tc>
          <w:tcPr/>
          <w:p>
            <w:pPr>
              <w:pStyle w:val="Compact"/>
            </w:pPr>
          </w:p>
        </w:tc>
        <w:tc>
          <w:tcPr/>
          <w:p>
            <w:pPr>
              <w:pStyle w:val="Compact"/>
            </w:pPr>
          </w:p>
        </w:tc>
      </w:tr>
    </w:tbl>
    <w:p>
      <w:r>
        <w:pict>
          <v:rect style="width:0;height:1.5pt" o:hralign="center" o:hrstd="t" o:hr="t"/>
        </w:pict>
      </w:r>
    </w:p>
    <w:bookmarkEnd w:id="33"/>
    <w:bookmarkStart w:id="34" w:name="sources"/>
    <w:p>
      <w:pPr>
        <w:pStyle w:val="Heading2"/>
      </w:pPr>
      <w:r>
        <w:rPr>
          <w:b/>
          <w:bCs/>
        </w:rPr>
        <w:t xml:space="preserve">6. Sources</w:t>
      </w:r>
    </w:p>
    <w:p>
      <w:pPr>
        <w:pStyle w:val="Compact"/>
        <w:numPr>
          <w:ilvl w:val="0"/>
          <w:numId w:val="1006"/>
        </w:numPr>
      </w:pPr>
      <w:r>
        <w:rPr>
          <w:rStyle w:val="VerbatimChar"/>
        </w:rPr>
        <w:t xml:space="preserve">ADR transport UCO biodiesel regulations.md</w:t>
      </w:r>
    </w:p>
    <w:p>
      <w:pPr>
        <w:pStyle w:val="Compact"/>
        <w:numPr>
          <w:ilvl w:val="0"/>
          <w:numId w:val="1006"/>
        </w:numPr>
      </w:pPr>
      <w:r>
        <w:rPr>
          <w:rStyle w:val="VerbatimChar"/>
        </w:rPr>
        <w:t xml:space="preserve">cross-border waste shipment Annex VII documentation.md</w:t>
      </w:r>
    </w:p>
    <w:p>
      <w:pPr>
        <w:pStyle w:val="Compact"/>
        <w:numPr>
          <w:ilvl w:val="0"/>
          <w:numId w:val="1006"/>
        </w:numPr>
      </w:pPr>
      <w:r>
        <w:rPr>
          <w:rStyle w:val="VerbatimChar"/>
        </w:rPr>
        <w:t xml:space="preserve">DSEAR regulations biogas facilities risk assessment UK.md</w:t>
      </w:r>
    </w:p>
    <w:p>
      <w:pPr>
        <w:pStyle w:val="Compact"/>
        <w:numPr>
          <w:ilvl w:val="0"/>
          <w:numId w:val="1006"/>
        </w:numPr>
      </w:pPr>
      <w:r>
        <w:rPr>
          <w:rStyle w:val="VerbatimChar"/>
        </w:rPr>
        <w:t xml:space="preserve">EN 14214 biodiesel fuel standard.md</w:t>
      </w:r>
    </w:p>
    <w:p>
      <w:pPr>
        <w:pStyle w:val="Compact"/>
        <w:numPr>
          <w:ilvl w:val="0"/>
          <w:numId w:val="1006"/>
        </w:numPr>
      </w:pPr>
      <w:r>
        <w:rPr>
          <w:rStyle w:val="VerbatimChar"/>
        </w:rPr>
        <w:t xml:space="preserve">EU RED II RED III biodiesel UCO.md</w:t>
      </w:r>
    </w:p>
    <w:p>
      <w:pPr>
        <w:pStyle w:val="Compact"/>
        <w:numPr>
          <w:ilvl w:val="0"/>
          <w:numId w:val="1006"/>
        </w:numPr>
      </w:pPr>
      <w:r>
        <w:rPr>
          <w:rStyle w:val="VerbatimChar"/>
        </w:rPr>
        <w:t xml:space="preserve">EWC LoW codes waste classification.md</w:t>
      </w:r>
    </w:p>
    <w:p>
      <w:pPr>
        <w:pStyle w:val="Compact"/>
        <w:numPr>
          <w:ilvl w:val="0"/>
          <w:numId w:val="1006"/>
        </w:numPr>
      </w:pPr>
      <w:r>
        <w:rPr>
          <w:rStyle w:val="VerbatimChar"/>
        </w:rPr>
        <w:t xml:space="preserve">Health &amp; Safety at Work Act HSWA requirements UK.md</w:t>
      </w:r>
    </w:p>
    <w:p>
      <w:pPr>
        <w:pStyle w:val="Compact"/>
        <w:numPr>
          <w:ilvl w:val="0"/>
          <w:numId w:val="1006"/>
        </w:numPr>
      </w:pPr>
      <w:r>
        <w:rPr>
          <w:rStyle w:val="VerbatimChar"/>
        </w:rPr>
        <w:t xml:space="preserve">ISCC certification biodiesel UCO.md</w:t>
      </w:r>
    </w:p>
    <w:p>
      <w:pPr>
        <w:pStyle w:val="Compact"/>
        <w:numPr>
          <w:ilvl w:val="0"/>
          <w:numId w:val="1006"/>
        </w:numPr>
      </w:pPr>
      <w:r>
        <w:rPr>
          <w:rStyle w:val="VerbatimChar"/>
        </w:rPr>
        <w:t xml:space="preserve">master compliance document outline.md</w:t>
      </w:r>
    </w:p>
    <w:p>
      <w:pPr>
        <w:pStyle w:val="Compact"/>
        <w:numPr>
          <w:ilvl w:val="0"/>
          <w:numId w:val="1006"/>
        </w:numPr>
      </w:pPr>
      <w:r>
        <w:rPr>
          <w:rStyle w:val="VerbatimChar"/>
        </w:rPr>
        <w:t xml:space="preserve">PAS 110 digestate quality standards UK.md</w:t>
      </w:r>
    </w:p>
    <w:p>
      <w:pPr>
        <w:pStyle w:val="Compact"/>
        <w:numPr>
          <w:ilvl w:val="0"/>
          <w:numId w:val="1006"/>
        </w:numPr>
      </w:pPr>
      <w:r>
        <w:rPr>
          <w:rStyle w:val="VerbatimChar"/>
        </w:rPr>
        <w:t xml:space="preserve">REACH CLP regulations biogas biodiesel chemicals.md</w:t>
      </w:r>
    </w:p>
    <w:p>
      <w:pPr>
        <w:pStyle w:val="Compact"/>
        <w:numPr>
          <w:ilvl w:val="0"/>
          <w:numId w:val="1006"/>
        </w:numPr>
      </w:pPr>
      <w:r>
        <w:rPr>
          <w:rStyle w:val="VerbatimChar"/>
        </w:rPr>
        <w:t xml:space="preserve">UK biogas Animal By-Products ABP feedstock regulations.md</w:t>
      </w:r>
    </w:p>
    <w:p>
      <w:pPr>
        <w:pStyle w:val="Compact"/>
        <w:numPr>
          <w:ilvl w:val="0"/>
          <w:numId w:val="1006"/>
        </w:numPr>
      </w:pPr>
      <w:r>
        <w:rPr>
          <w:rStyle w:val="VerbatimChar"/>
        </w:rPr>
        <w:t xml:space="preserve">UK biogas energy offtake compliance CHP G99 GSMR.md</w:t>
      </w:r>
    </w:p>
    <w:p>
      <w:pPr>
        <w:pStyle w:val="Compact"/>
        <w:numPr>
          <w:ilvl w:val="0"/>
          <w:numId w:val="1006"/>
        </w:numPr>
      </w:pPr>
      <w:r>
        <w:rPr>
          <w:rStyle w:val="VerbatimChar"/>
        </w:rPr>
        <w:t xml:space="preserve">UK biogas environmental permitting Environment Agency NRW SEPA.md</w:t>
      </w:r>
    </w:p>
    <w:p>
      <w:pPr>
        <w:pStyle w:val="Compact"/>
        <w:numPr>
          <w:ilvl w:val="0"/>
          <w:numId w:val="1006"/>
        </w:numPr>
      </w:pPr>
      <w:r>
        <w:rPr>
          <w:rStyle w:val="VerbatimChar"/>
        </w:rPr>
        <w:t xml:space="preserve">UK Duty of Care waste management.md</w:t>
      </w:r>
    </w:p>
    <w:p>
      <w:pPr>
        <w:pStyle w:val="Compact"/>
        <w:numPr>
          <w:ilvl w:val="0"/>
          <w:numId w:val="1006"/>
        </w:numPr>
      </w:pPr>
      <w:r>
        <w:rPr>
          <w:rStyle w:val="VerbatimChar"/>
        </w:rPr>
        <w:t xml:space="preserve">UK EU biodiesel Used Cooking Oil UCO regulations.md</w:t>
      </w:r>
    </w:p>
    <w:p>
      <w:pPr>
        <w:pStyle w:val="Compact"/>
        <w:numPr>
          <w:ilvl w:val="0"/>
          <w:numId w:val="1006"/>
        </w:numPr>
      </w:pPr>
      <w:r>
        <w:rPr>
          <w:rStyle w:val="VerbatimChar"/>
        </w:rPr>
        <w:t xml:space="preserve">UK EU biogas food waste anaerobic digestion regulations.md</w:t>
      </w:r>
    </w:p>
    <w:p>
      <w:pPr>
        <w:pStyle w:val="Compact"/>
        <w:numPr>
          <w:ilvl w:val="0"/>
          <w:numId w:val="1006"/>
        </w:numPr>
      </w:pPr>
      <w:r>
        <w:rPr>
          <w:rStyle w:val="VerbatimChar"/>
        </w:rPr>
        <w:t xml:space="preserve">UK EU waste management legal frameworks.md</w:t>
      </w:r>
    </w:p>
    <w:p>
      <w:pPr>
        <w:pStyle w:val="Compact"/>
        <w:numPr>
          <w:ilvl w:val="0"/>
          <w:numId w:val="1006"/>
        </w:numPr>
      </w:pPr>
      <w:r>
        <w:rPr>
          <w:rStyle w:val="VerbatimChar"/>
        </w:rPr>
        <w:t xml:space="preserve">UK RTFO biodiesel UCO.md</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2025-08-28T04:04:02Z</dcterms:created>
  <dcterms:modified xsi:type="dcterms:W3CDTF">2025-08-28T04:04:02Z</dcterms:modified>
</cp:coreProperties>
</file>

<file path=docProps/custom.xml><?xml version="1.0" encoding="utf-8"?>
<Properties xmlns="http://schemas.openxmlformats.org/officeDocument/2006/custom-properties" xmlns:vt="http://schemas.openxmlformats.org/officeDocument/2006/docPropsVTypes"/>
</file>