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0ced726a99910a1cd7af3763da9de5dd8490d5b"/>
    <w:p>
      <w:pPr>
        <w:pStyle w:val="Heading1"/>
      </w:pPr>
      <w:r>
        <w:t xml:space="preserve">Fuel Quality &amp; Product Conformity Pack (EN 14214)</w:t>
      </w:r>
    </w:p>
    <w:p>
      <w:pPr>
        <w:pStyle w:val="FirstParagraph"/>
      </w:pPr>
      <w:r>
        <w:rPr>
          <w:b/>
          <w:bCs/>
        </w:rPr>
        <w:t xml:space="preserve">Document ID:</w:t>
      </w:r>
      <w:r>
        <w:t xml:space="preserve"> </w:t>
      </w:r>
      <w:r>
        <w:rPr>
          <w:rStyle w:val="VerbatimChar"/>
        </w:rPr>
        <w:t xml:space="preserve">[Project Name]-QA-PROD-001</w:t>
      </w:r>
      <w:r>
        <w:t xml:space="preserve"> </w:t>
      </w:r>
      <w:r>
        <w:rPr>
          <w:b/>
          <w:bCs/>
        </w:rPr>
        <w:t xml:space="preserve">Version:</w:t>
      </w:r>
      <w:r>
        <w:t xml:space="preserve"> </w:t>
      </w:r>
      <w:r>
        <w:t xml:space="preserve">1.0</w:t>
      </w:r>
      <w:r>
        <w:t xml:space="preserve"> </w:t>
      </w:r>
      <w:r>
        <w:rPr>
          <w:b/>
          <w:bCs/>
        </w:rPr>
        <w:t xml:space="preserve">Effective Date:</w:t>
      </w:r>
      <w:r>
        <w:t xml:space="preserve"> </w:t>
      </w:r>
      <w:r>
        <w:rPr>
          <w:rStyle w:val="VerbatimChar"/>
        </w:rPr>
        <w:t xml:space="preserve">[Date]</w:t>
      </w:r>
      <w:r>
        <w:t xml:space="preserve"> </w:t>
      </w:r>
      <w:r>
        <w:rPr>
          <w:b/>
          <w:bCs/>
        </w:rPr>
        <w:t xml:space="preserve">Author:</w:t>
      </w:r>
      <w:r>
        <w:t xml:space="preserve"> </w:t>
      </w:r>
      <w:r>
        <w:rPr>
          <w:rStyle w:val="VerbatimChar"/>
        </w:rPr>
        <w:t xml:space="preserve">[QA Manager Name/Title]</w:t>
      </w:r>
      <w:r>
        <w:t xml:space="preserve"> </w:t>
      </w:r>
      <w:r>
        <w:rPr>
          <w:b/>
          <w:bCs/>
        </w:rPr>
        <w:t xml:space="preserve">Approver:</w:t>
      </w:r>
      <w:r>
        <w:t xml:space="preserve"> </w:t>
      </w:r>
      <w:r>
        <w:rPr>
          <w:rStyle w:val="VerbatimChar"/>
        </w:rPr>
        <w:t xml:space="preserve">[Plant Manager Name/Title]</w:t>
      </w:r>
    </w:p>
    <w:p>
      <w:r>
        <w:pict>
          <v:rect style="width:0;height:1.5pt" o:hralign="center" o:hrstd="t" o:hr="t"/>
        </w:pict>
      </w:r>
    </w:p>
    <w:bookmarkStart w:id="20" w:name="purpose-and-scope"/>
    <w:p>
      <w:pPr>
        <w:pStyle w:val="Heading3"/>
      </w:pPr>
      <w:r>
        <w:rPr>
          <w:b/>
          <w:bCs/>
        </w:rPr>
        <w:t xml:space="preserve">1.0 Purpose and Scope</w:t>
      </w:r>
    </w:p>
    <w:p>
      <w:pPr>
        <w:pStyle w:val="FirstParagraph"/>
      </w:pPr>
      <w:r>
        <w:rPr>
          <w:b/>
          <w:bCs/>
        </w:rPr>
        <w:t xml:space="preserve">1.1. Purpose</w:t>
      </w:r>
      <w:r>
        <w:t xml:space="preserve"> </w:t>
      </w:r>
      <w:r>
        <w:t xml:space="preserve">This document establishes the comprehensive Quality Assurance (QA) and Quality Control (QC) framework for</w:t>
      </w:r>
      <w:r>
        <w:t xml:space="preserve"> </w:t>
      </w:r>
      <w:r>
        <w:rPr>
          <w:rStyle w:val="VerbatimChar"/>
        </w:rPr>
        <w:t xml:space="preserve">[Project Name]</w:t>
      </w:r>
      <w:r>
        <w:t xml:space="preserve"> </w:t>
      </w:r>
      <w:r>
        <w:t xml:space="preserve">to ensure that all Fatty Acid Methyl Ester (FAME) produced and supplied meets or exceeds the specifications of</w:t>
      </w:r>
      <w:r>
        <w:t xml:space="preserve"> </w:t>
      </w:r>
      <w:r>
        <w:rPr>
          <w:b/>
          <w:bCs/>
        </w:rPr>
        <w:t xml:space="preserve">EN 14214:2012+A2:2019</w:t>
      </w:r>
      <w:r>
        <w:t xml:space="preserve">. The procedures herein are designed to guarantee product conformity, traceability, and customer satisfaction, while supporting regulatory compliance under the UK RTFO and EU RED II/III frameworks.</w:t>
      </w:r>
    </w:p>
    <w:p>
      <w:pPr>
        <w:pStyle w:val="BodyText"/>
      </w:pPr>
      <w:r>
        <w:rPr>
          <w:b/>
          <w:bCs/>
        </w:rPr>
        <w:t xml:space="preserve">1.2. Scope</w:t>
      </w:r>
      <w:r>
        <w:t xml:space="preserve"> </w:t>
      </w:r>
      <w:r>
        <w:t xml:space="preserve">This pack applies to all stages of the biodiesel production process, from the reception of Used Cooking Oil (UCO) feedstock to the final testing, storage, and dispatch of finished B100 biodiesel. It governs the activities of all personnel involved in production, quality control, logistics, and management.</w:t>
      </w:r>
    </w:p>
    <w:p>
      <w:r>
        <w:pict>
          <v:rect style="width:0;height:1.5pt" o:hralign="center" o:hrstd="t" o:hr="t"/>
        </w:pict>
      </w:r>
    </w:p>
    <w:bookmarkEnd w:id="20"/>
    <w:bookmarkStart w:id="21" w:name="product-specification-en-14214"/>
    <w:p>
      <w:pPr>
        <w:pStyle w:val="Heading3"/>
      </w:pPr>
      <w:r>
        <w:rPr>
          <w:b/>
          <w:bCs/>
        </w:rPr>
        <w:t xml:space="preserve">2.0 Product Specification: EN 14214</w:t>
      </w:r>
    </w:p>
    <w:p>
      <w:pPr>
        <w:pStyle w:val="FirstParagraph"/>
      </w:pPr>
      <w:r>
        <w:t xml:space="preserve">All B100 biodiesel produced must conform to the following critical parameters as defined by the EN 14214 standard. A full Certificate of Analysis (CoA) demonstrating compliance with these specifications is required for the release of every product batch.</w:t>
      </w:r>
    </w:p>
    <w:tbl>
      <w:tblPr>
        <w:tblStyle w:val="Table"/>
        <w:tblW w:type="pct" w:w="5000"/>
        <w:jc w:val="left"/>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Parameter</w:t>
            </w:r>
          </w:p>
        </w:tc>
        <w:tc>
          <w:tcPr/>
          <w:p>
            <w:pPr>
              <w:pStyle w:val="Compact"/>
              <w:jc w:val="left"/>
            </w:pPr>
            <w:r>
              <w:t xml:space="preserve">Unit</w:t>
            </w:r>
          </w:p>
        </w:tc>
        <w:tc>
          <w:tcPr/>
          <w:p>
            <w:pPr>
              <w:pStyle w:val="Compact"/>
              <w:jc w:val="left"/>
            </w:pPr>
            <w:r>
              <w:t xml:space="preserve">Lower Limit</w:t>
            </w:r>
          </w:p>
        </w:tc>
        <w:tc>
          <w:tcPr/>
          <w:p>
            <w:pPr>
              <w:pStyle w:val="Compact"/>
              <w:jc w:val="left"/>
            </w:pPr>
            <w:r>
              <w:t xml:space="preserve">Upper Limit</w:t>
            </w:r>
          </w:p>
        </w:tc>
        <w:tc>
          <w:tcPr/>
          <w:p>
            <w:pPr>
              <w:pStyle w:val="Compact"/>
              <w:jc w:val="left"/>
            </w:pPr>
            <w:r>
              <w:t xml:space="preserve">Test Method</w:t>
            </w:r>
          </w:p>
        </w:tc>
      </w:tr>
      <w:tr>
        <w:tc>
          <w:tcPr/>
          <w:p>
            <w:pPr>
              <w:pStyle w:val="Compact"/>
              <w:jc w:val="left"/>
            </w:pPr>
            <w:r>
              <w:rPr>
                <w:b/>
                <w:bCs/>
              </w:rPr>
              <w:t xml:space="preserve">Ester Content</w:t>
            </w:r>
          </w:p>
        </w:tc>
        <w:tc>
          <w:tcPr/>
          <w:p>
            <w:pPr>
              <w:pStyle w:val="Compact"/>
              <w:jc w:val="left"/>
            </w:pPr>
            <w:r>
              <w:t xml:space="preserve">% (m/m)</w:t>
            </w:r>
          </w:p>
        </w:tc>
        <w:tc>
          <w:tcPr/>
          <w:p>
            <w:pPr>
              <w:pStyle w:val="Compact"/>
              <w:jc w:val="left"/>
            </w:pPr>
            <w:r>
              <w:t xml:space="preserve">96.5</w:t>
            </w:r>
          </w:p>
        </w:tc>
        <w:tc>
          <w:tcPr/>
          <w:p>
            <w:pPr>
              <w:pStyle w:val="Compact"/>
              <w:jc w:val="left"/>
            </w:pPr>
            <w:r>
              <w:t xml:space="preserve">-</w:t>
            </w:r>
          </w:p>
        </w:tc>
        <w:tc>
          <w:tcPr/>
          <w:p>
            <w:pPr>
              <w:pStyle w:val="Compact"/>
              <w:jc w:val="left"/>
            </w:pPr>
            <w:r>
              <w:t xml:space="preserve">EN 14103</w:t>
            </w:r>
          </w:p>
        </w:tc>
      </w:tr>
      <w:tr>
        <w:tc>
          <w:tcPr/>
          <w:p>
            <w:pPr>
              <w:pStyle w:val="Compact"/>
              <w:jc w:val="left"/>
            </w:pPr>
            <w:r>
              <w:rPr>
                <w:b/>
                <w:bCs/>
              </w:rPr>
              <w:t xml:space="preserve">Density @ 15°C</w:t>
            </w:r>
          </w:p>
        </w:tc>
        <w:tc>
          <w:tcPr/>
          <w:p>
            <w:pPr>
              <w:pStyle w:val="Compact"/>
              <w:jc w:val="left"/>
            </w:pPr>
            <w:r>
              <w:t xml:space="preserve">kg/m³</w:t>
            </w:r>
          </w:p>
        </w:tc>
        <w:tc>
          <w:tcPr/>
          <w:p>
            <w:pPr>
              <w:pStyle w:val="Compact"/>
              <w:jc w:val="left"/>
            </w:pPr>
            <w:r>
              <w:t xml:space="preserve">860</w:t>
            </w:r>
          </w:p>
        </w:tc>
        <w:tc>
          <w:tcPr/>
          <w:p>
            <w:pPr>
              <w:pStyle w:val="Compact"/>
              <w:jc w:val="left"/>
            </w:pPr>
            <w:r>
              <w:t xml:space="preserve">900</w:t>
            </w:r>
          </w:p>
        </w:tc>
        <w:tc>
          <w:tcPr/>
          <w:p>
            <w:pPr>
              <w:pStyle w:val="Compact"/>
              <w:jc w:val="left"/>
            </w:pPr>
            <w:r>
              <w:t xml:space="preserve">EN ISO 3675</w:t>
            </w:r>
          </w:p>
        </w:tc>
      </w:tr>
      <w:tr>
        <w:tc>
          <w:tcPr/>
          <w:p>
            <w:pPr>
              <w:pStyle w:val="Compact"/>
              <w:jc w:val="left"/>
            </w:pPr>
            <w:r>
              <w:rPr>
                <w:b/>
                <w:bCs/>
              </w:rPr>
              <w:t xml:space="preserve">Viscosity @ 40°C</w:t>
            </w:r>
          </w:p>
        </w:tc>
        <w:tc>
          <w:tcPr/>
          <w:p>
            <w:pPr>
              <w:pStyle w:val="Compact"/>
              <w:jc w:val="left"/>
            </w:pPr>
            <w:r>
              <w:t xml:space="preserve">mm²/s</w:t>
            </w:r>
          </w:p>
        </w:tc>
        <w:tc>
          <w:tcPr/>
          <w:p>
            <w:pPr>
              <w:pStyle w:val="Compact"/>
              <w:jc w:val="left"/>
            </w:pPr>
            <w:r>
              <w:t xml:space="preserve">3.50</w:t>
            </w:r>
          </w:p>
        </w:tc>
        <w:tc>
          <w:tcPr/>
          <w:p>
            <w:pPr>
              <w:pStyle w:val="Compact"/>
              <w:jc w:val="left"/>
            </w:pPr>
            <w:r>
              <w:t xml:space="preserve">5.00</w:t>
            </w:r>
          </w:p>
        </w:tc>
        <w:tc>
          <w:tcPr/>
          <w:p>
            <w:pPr>
              <w:pStyle w:val="Compact"/>
              <w:jc w:val="left"/>
            </w:pPr>
            <w:r>
              <w:t xml:space="preserve">EN ISO 3104</w:t>
            </w:r>
          </w:p>
        </w:tc>
      </w:tr>
      <w:tr>
        <w:tc>
          <w:tcPr/>
          <w:p>
            <w:pPr>
              <w:pStyle w:val="Compact"/>
              <w:jc w:val="left"/>
            </w:pPr>
            <w:r>
              <w:rPr>
                <w:b/>
                <w:bCs/>
              </w:rPr>
              <w:t xml:space="preserve">Flash Point (PMCC)</w:t>
            </w:r>
          </w:p>
        </w:tc>
        <w:tc>
          <w:tcPr/>
          <w:p>
            <w:pPr>
              <w:pStyle w:val="Compact"/>
              <w:jc w:val="left"/>
            </w:pPr>
            <w:r>
              <w:t xml:space="preserve">°C</w:t>
            </w:r>
          </w:p>
        </w:tc>
        <w:tc>
          <w:tcPr/>
          <w:p>
            <w:pPr>
              <w:pStyle w:val="Compact"/>
              <w:jc w:val="left"/>
            </w:pPr>
            <w:r>
              <w:t xml:space="preserve">101</w:t>
            </w:r>
          </w:p>
        </w:tc>
        <w:tc>
          <w:tcPr/>
          <w:p>
            <w:pPr>
              <w:pStyle w:val="Compact"/>
              <w:jc w:val="left"/>
            </w:pPr>
            <w:r>
              <w:t xml:space="preserve">-</w:t>
            </w:r>
          </w:p>
        </w:tc>
        <w:tc>
          <w:tcPr/>
          <w:p>
            <w:pPr>
              <w:pStyle w:val="Compact"/>
              <w:jc w:val="left"/>
            </w:pPr>
            <w:r>
              <w:t xml:space="preserve">EN ISO 2719</w:t>
            </w:r>
          </w:p>
        </w:tc>
      </w:tr>
      <w:tr>
        <w:tc>
          <w:tcPr/>
          <w:p>
            <w:pPr>
              <w:pStyle w:val="Compact"/>
              <w:jc w:val="left"/>
            </w:pPr>
            <w:r>
              <w:rPr>
                <w:b/>
                <w:bCs/>
              </w:rPr>
              <w:t xml:space="preserve">Sulphur Content</w:t>
            </w:r>
          </w:p>
        </w:tc>
        <w:tc>
          <w:tcPr/>
          <w:p>
            <w:pPr>
              <w:pStyle w:val="Compact"/>
              <w:jc w:val="left"/>
            </w:pPr>
            <w:r>
              <w:t xml:space="preserve">mg/kg</w:t>
            </w:r>
          </w:p>
        </w:tc>
        <w:tc>
          <w:tcPr/>
          <w:p>
            <w:pPr>
              <w:pStyle w:val="Compact"/>
              <w:jc w:val="left"/>
            </w:pPr>
            <w:r>
              <w:t xml:space="preserve">-</w:t>
            </w:r>
          </w:p>
        </w:tc>
        <w:tc>
          <w:tcPr/>
          <w:p>
            <w:pPr>
              <w:pStyle w:val="Compact"/>
              <w:jc w:val="left"/>
            </w:pPr>
            <w:r>
              <w:t xml:space="preserve">10.0</w:t>
            </w:r>
          </w:p>
        </w:tc>
        <w:tc>
          <w:tcPr/>
          <w:p>
            <w:pPr>
              <w:pStyle w:val="Compact"/>
              <w:jc w:val="left"/>
            </w:pPr>
            <w:r>
              <w:t xml:space="preserve">EN ISO 20846</w:t>
            </w:r>
          </w:p>
        </w:tc>
      </w:tr>
      <w:tr>
        <w:tc>
          <w:tcPr/>
          <w:p>
            <w:pPr>
              <w:pStyle w:val="Compact"/>
              <w:jc w:val="left"/>
            </w:pPr>
            <w:r>
              <w:rPr>
                <w:b/>
                <w:bCs/>
              </w:rPr>
              <w:t xml:space="preserve">Cetane Number</w:t>
            </w:r>
          </w:p>
        </w:tc>
        <w:tc>
          <w:tcPr/>
          <w:p>
            <w:pPr>
              <w:pStyle w:val="Compact"/>
              <w:jc w:val="left"/>
            </w:pPr>
            <w:r>
              <w:t xml:space="preserve">-</w:t>
            </w:r>
          </w:p>
        </w:tc>
        <w:tc>
          <w:tcPr/>
          <w:p>
            <w:pPr>
              <w:pStyle w:val="Compact"/>
              <w:jc w:val="left"/>
            </w:pPr>
            <w:r>
              <w:t xml:space="preserve">51.0</w:t>
            </w:r>
          </w:p>
        </w:tc>
        <w:tc>
          <w:tcPr/>
          <w:p>
            <w:pPr>
              <w:pStyle w:val="Compact"/>
              <w:jc w:val="left"/>
            </w:pPr>
            <w:r>
              <w:t xml:space="preserve">-</w:t>
            </w:r>
          </w:p>
        </w:tc>
        <w:tc>
          <w:tcPr/>
          <w:p>
            <w:pPr>
              <w:pStyle w:val="Compact"/>
              <w:jc w:val="left"/>
            </w:pPr>
            <w:r>
              <w:t xml:space="preserve">EN ISO 5165</w:t>
            </w:r>
          </w:p>
        </w:tc>
      </w:tr>
      <w:tr>
        <w:tc>
          <w:tcPr/>
          <w:p>
            <w:pPr>
              <w:pStyle w:val="Compact"/>
              <w:jc w:val="left"/>
            </w:pPr>
            <w:r>
              <w:rPr>
                <w:b/>
                <w:bCs/>
              </w:rPr>
              <w:t xml:space="preserve">Monoglyceride Content</w:t>
            </w:r>
          </w:p>
        </w:tc>
        <w:tc>
          <w:tcPr/>
          <w:p>
            <w:pPr>
              <w:pStyle w:val="Compact"/>
              <w:jc w:val="left"/>
            </w:pPr>
            <w:r>
              <w:t xml:space="preserve">% (m/m)</w:t>
            </w:r>
          </w:p>
        </w:tc>
        <w:tc>
          <w:tcPr/>
          <w:p>
            <w:pPr>
              <w:pStyle w:val="Compact"/>
              <w:jc w:val="left"/>
            </w:pPr>
            <w:r>
              <w:t xml:space="preserve">-</w:t>
            </w:r>
          </w:p>
        </w:tc>
        <w:tc>
          <w:tcPr/>
          <w:p>
            <w:pPr>
              <w:pStyle w:val="Compact"/>
              <w:jc w:val="left"/>
            </w:pPr>
            <w:r>
              <w:t xml:space="preserve">0.70</w:t>
            </w:r>
          </w:p>
        </w:tc>
        <w:tc>
          <w:tcPr/>
          <w:p>
            <w:pPr>
              <w:pStyle w:val="Compact"/>
              <w:jc w:val="left"/>
            </w:pPr>
            <w:r>
              <w:t xml:space="preserve">EN 14105</w:t>
            </w:r>
          </w:p>
        </w:tc>
      </w:tr>
      <w:tr>
        <w:tc>
          <w:tcPr/>
          <w:p>
            <w:pPr>
              <w:pStyle w:val="Compact"/>
              <w:jc w:val="left"/>
            </w:pPr>
            <w:r>
              <w:rPr>
                <w:b/>
                <w:bCs/>
              </w:rPr>
              <w:t xml:space="preserve">Diglyceride Content</w:t>
            </w:r>
          </w:p>
        </w:tc>
        <w:tc>
          <w:tcPr/>
          <w:p>
            <w:pPr>
              <w:pStyle w:val="Compact"/>
              <w:jc w:val="left"/>
            </w:pPr>
            <w:r>
              <w:t xml:space="preserve">% (m/m)</w:t>
            </w:r>
          </w:p>
        </w:tc>
        <w:tc>
          <w:tcPr/>
          <w:p>
            <w:pPr>
              <w:pStyle w:val="Compact"/>
              <w:jc w:val="left"/>
            </w:pPr>
            <w:r>
              <w:t xml:space="preserve">-</w:t>
            </w:r>
          </w:p>
        </w:tc>
        <w:tc>
          <w:tcPr/>
          <w:p>
            <w:pPr>
              <w:pStyle w:val="Compact"/>
              <w:jc w:val="left"/>
            </w:pPr>
            <w:r>
              <w:t xml:space="preserve">0.20</w:t>
            </w:r>
          </w:p>
        </w:tc>
        <w:tc>
          <w:tcPr/>
          <w:p>
            <w:pPr>
              <w:pStyle w:val="Compact"/>
              <w:jc w:val="left"/>
            </w:pPr>
            <w:r>
              <w:t xml:space="preserve">EN 14105</w:t>
            </w:r>
          </w:p>
        </w:tc>
      </w:tr>
      <w:tr>
        <w:tc>
          <w:tcPr/>
          <w:p>
            <w:pPr>
              <w:pStyle w:val="Compact"/>
              <w:jc w:val="left"/>
            </w:pPr>
            <w:r>
              <w:rPr>
                <w:b/>
                <w:bCs/>
              </w:rPr>
              <w:t xml:space="preserve">Triglyceride Content</w:t>
            </w:r>
          </w:p>
        </w:tc>
        <w:tc>
          <w:tcPr/>
          <w:p>
            <w:pPr>
              <w:pStyle w:val="Compact"/>
              <w:jc w:val="left"/>
            </w:pPr>
            <w:r>
              <w:t xml:space="preserve">% (m/m)</w:t>
            </w:r>
          </w:p>
        </w:tc>
        <w:tc>
          <w:tcPr/>
          <w:p>
            <w:pPr>
              <w:pStyle w:val="Compact"/>
              <w:jc w:val="left"/>
            </w:pPr>
            <w:r>
              <w:t xml:space="preserve">-</w:t>
            </w:r>
          </w:p>
        </w:tc>
        <w:tc>
          <w:tcPr/>
          <w:p>
            <w:pPr>
              <w:pStyle w:val="Compact"/>
              <w:jc w:val="left"/>
            </w:pPr>
            <w:r>
              <w:t xml:space="preserve">0.20</w:t>
            </w:r>
          </w:p>
        </w:tc>
        <w:tc>
          <w:tcPr/>
          <w:p>
            <w:pPr>
              <w:pStyle w:val="Compact"/>
              <w:jc w:val="left"/>
            </w:pPr>
            <w:r>
              <w:t xml:space="preserve">EN 14105</w:t>
            </w:r>
          </w:p>
        </w:tc>
      </w:tr>
      <w:tr>
        <w:tc>
          <w:tcPr/>
          <w:p>
            <w:pPr>
              <w:pStyle w:val="Compact"/>
              <w:jc w:val="left"/>
            </w:pPr>
            <w:r>
              <w:rPr>
                <w:b/>
                <w:bCs/>
              </w:rPr>
              <w:t xml:space="preserve">Free Glycerol</w:t>
            </w:r>
          </w:p>
        </w:tc>
        <w:tc>
          <w:tcPr/>
          <w:p>
            <w:pPr>
              <w:pStyle w:val="Compact"/>
              <w:jc w:val="left"/>
            </w:pPr>
            <w:r>
              <w:t xml:space="preserve">% (m/m)</w:t>
            </w:r>
          </w:p>
        </w:tc>
        <w:tc>
          <w:tcPr/>
          <w:p>
            <w:pPr>
              <w:pStyle w:val="Compact"/>
              <w:jc w:val="left"/>
            </w:pPr>
            <w:r>
              <w:t xml:space="preserve">-</w:t>
            </w:r>
          </w:p>
        </w:tc>
        <w:tc>
          <w:tcPr/>
          <w:p>
            <w:pPr>
              <w:pStyle w:val="Compact"/>
              <w:jc w:val="left"/>
            </w:pPr>
            <w:r>
              <w:t xml:space="preserve">0.020</w:t>
            </w:r>
          </w:p>
        </w:tc>
        <w:tc>
          <w:tcPr/>
          <w:p>
            <w:pPr>
              <w:pStyle w:val="Compact"/>
              <w:jc w:val="left"/>
            </w:pPr>
            <w:r>
              <w:t xml:space="preserve">EN 14105 / EN 14106</w:t>
            </w:r>
          </w:p>
        </w:tc>
      </w:tr>
      <w:tr>
        <w:tc>
          <w:tcPr/>
          <w:p>
            <w:pPr>
              <w:pStyle w:val="Compact"/>
              <w:jc w:val="left"/>
            </w:pPr>
            <w:r>
              <w:rPr>
                <w:b/>
                <w:bCs/>
              </w:rPr>
              <w:t xml:space="preserve">Total Glycerol</w:t>
            </w:r>
          </w:p>
        </w:tc>
        <w:tc>
          <w:tcPr/>
          <w:p>
            <w:pPr>
              <w:pStyle w:val="Compact"/>
              <w:jc w:val="left"/>
            </w:pPr>
            <w:r>
              <w:t xml:space="preserve">% (m/m)</w:t>
            </w:r>
          </w:p>
        </w:tc>
        <w:tc>
          <w:tcPr/>
          <w:p>
            <w:pPr>
              <w:pStyle w:val="Compact"/>
              <w:jc w:val="left"/>
            </w:pPr>
            <w:r>
              <w:t xml:space="preserve">-</w:t>
            </w:r>
          </w:p>
        </w:tc>
        <w:tc>
          <w:tcPr/>
          <w:p>
            <w:pPr>
              <w:pStyle w:val="Compact"/>
              <w:jc w:val="left"/>
            </w:pPr>
            <w:r>
              <w:t xml:space="preserve">0.25</w:t>
            </w:r>
          </w:p>
        </w:tc>
        <w:tc>
          <w:tcPr/>
          <w:p>
            <w:pPr>
              <w:pStyle w:val="Compact"/>
              <w:jc w:val="left"/>
            </w:pPr>
            <w:r>
              <w:t xml:space="preserve">EN 14105</w:t>
            </w:r>
          </w:p>
        </w:tc>
      </w:tr>
      <w:tr>
        <w:tc>
          <w:tcPr/>
          <w:p>
            <w:pPr>
              <w:pStyle w:val="Compact"/>
              <w:jc w:val="left"/>
            </w:pPr>
            <w:r>
              <w:rPr>
                <w:b/>
                <w:bCs/>
              </w:rPr>
              <w:t xml:space="preserve">Water Content</w:t>
            </w:r>
          </w:p>
        </w:tc>
        <w:tc>
          <w:tcPr/>
          <w:p>
            <w:pPr>
              <w:pStyle w:val="Compact"/>
              <w:jc w:val="left"/>
            </w:pPr>
            <w:r>
              <w:t xml:space="preserve">mg/kg</w:t>
            </w:r>
          </w:p>
        </w:tc>
        <w:tc>
          <w:tcPr/>
          <w:p>
            <w:pPr>
              <w:pStyle w:val="Compact"/>
              <w:jc w:val="left"/>
            </w:pPr>
            <w:r>
              <w:t xml:space="preserve">-</w:t>
            </w:r>
          </w:p>
        </w:tc>
        <w:tc>
          <w:tcPr/>
          <w:p>
            <w:pPr>
              <w:pStyle w:val="Compact"/>
              <w:jc w:val="left"/>
            </w:pPr>
            <w:r>
              <w:t xml:space="preserve">500</w:t>
            </w:r>
          </w:p>
        </w:tc>
        <w:tc>
          <w:tcPr/>
          <w:p>
            <w:pPr>
              <w:pStyle w:val="Compact"/>
              <w:jc w:val="left"/>
            </w:pPr>
            <w:r>
              <w:t xml:space="preserve">EN ISO 12937</w:t>
            </w:r>
          </w:p>
        </w:tc>
      </w:tr>
      <w:tr>
        <w:tc>
          <w:tcPr/>
          <w:p>
            <w:pPr>
              <w:pStyle w:val="Compact"/>
              <w:jc w:val="left"/>
            </w:pPr>
            <w:r>
              <w:rPr>
                <w:b/>
                <w:bCs/>
              </w:rPr>
              <w:t xml:space="preserve">Total Contamination</w:t>
            </w:r>
          </w:p>
        </w:tc>
        <w:tc>
          <w:tcPr/>
          <w:p>
            <w:pPr>
              <w:pStyle w:val="Compact"/>
              <w:jc w:val="left"/>
            </w:pPr>
            <w:r>
              <w:t xml:space="preserve">mg/kg</w:t>
            </w:r>
          </w:p>
        </w:tc>
        <w:tc>
          <w:tcPr/>
          <w:p>
            <w:pPr>
              <w:pStyle w:val="Compact"/>
              <w:jc w:val="left"/>
            </w:pPr>
            <w:r>
              <w:t xml:space="preserve">-</w:t>
            </w:r>
          </w:p>
        </w:tc>
        <w:tc>
          <w:tcPr/>
          <w:p>
            <w:pPr>
              <w:pStyle w:val="Compact"/>
              <w:jc w:val="left"/>
            </w:pPr>
            <w:r>
              <w:t xml:space="preserve">24</w:t>
            </w:r>
          </w:p>
        </w:tc>
        <w:tc>
          <w:tcPr/>
          <w:p>
            <w:pPr>
              <w:pStyle w:val="Compact"/>
              <w:jc w:val="left"/>
            </w:pPr>
            <w:r>
              <w:t xml:space="preserve">EN 12662</w:t>
            </w:r>
          </w:p>
        </w:tc>
      </w:tr>
      <w:tr>
        <w:tc>
          <w:tcPr/>
          <w:p>
            <w:pPr>
              <w:pStyle w:val="Compact"/>
              <w:jc w:val="left"/>
            </w:pPr>
            <w:r>
              <w:rPr>
                <w:b/>
                <w:bCs/>
              </w:rPr>
              <w:t xml:space="preserve">Oxidation Stability @ 110°C</w:t>
            </w:r>
          </w:p>
        </w:tc>
        <w:tc>
          <w:tcPr/>
          <w:p>
            <w:pPr>
              <w:pStyle w:val="Compact"/>
              <w:jc w:val="left"/>
            </w:pPr>
            <w:r>
              <w:t xml:space="preserve">hours</w:t>
            </w:r>
          </w:p>
        </w:tc>
        <w:tc>
          <w:tcPr/>
          <w:p>
            <w:pPr>
              <w:pStyle w:val="Compact"/>
              <w:jc w:val="left"/>
            </w:pPr>
            <w:r>
              <w:t xml:space="preserve">8.0</w:t>
            </w:r>
          </w:p>
        </w:tc>
        <w:tc>
          <w:tcPr/>
          <w:p>
            <w:pPr>
              <w:pStyle w:val="Compact"/>
              <w:jc w:val="left"/>
            </w:pPr>
            <w:r>
              <w:t xml:space="preserve">-</w:t>
            </w:r>
          </w:p>
        </w:tc>
        <w:tc>
          <w:tcPr/>
          <w:p>
            <w:pPr>
              <w:pStyle w:val="Compact"/>
              <w:jc w:val="left"/>
            </w:pPr>
            <w:r>
              <w:t xml:space="preserve">EN 15751</w:t>
            </w:r>
          </w:p>
        </w:tc>
      </w:tr>
      <w:tr>
        <w:tc>
          <w:tcPr/>
          <w:p>
            <w:pPr>
              <w:pStyle w:val="Compact"/>
              <w:jc w:val="left"/>
            </w:pPr>
            <w:r>
              <w:rPr>
                <w:b/>
                <w:bCs/>
              </w:rPr>
              <w:t xml:space="preserve">Acid Value</w:t>
            </w:r>
          </w:p>
        </w:tc>
        <w:tc>
          <w:tcPr/>
          <w:p>
            <w:pPr>
              <w:pStyle w:val="Compact"/>
              <w:jc w:val="left"/>
            </w:pPr>
            <w:r>
              <w:t xml:space="preserve">mg KOH/g</w:t>
            </w:r>
          </w:p>
        </w:tc>
        <w:tc>
          <w:tcPr/>
          <w:p>
            <w:pPr>
              <w:pStyle w:val="Compact"/>
              <w:jc w:val="left"/>
            </w:pPr>
            <w:r>
              <w:t xml:space="preserve">-</w:t>
            </w:r>
          </w:p>
        </w:tc>
        <w:tc>
          <w:tcPr/>
          <w:p>
            <w:pPr>
              <w:pStyle w:val="Compact"/>
              <w:jc w:val="left"/>
            </w:pPr>
            <w:r>
              <w:t xml:space="preserve">0.50</w:t>
            </w:r>
          </w:p>
        </w:tc>
        <w:tc>
          <w:tcPr/>
          <w:p>
            <w:pPr>
              <w:pStyle w:val="Compact"/>
              <w:jc w:val="left"/>
            </w:pPr>
            <w:r>
              <w:t xml:space="preserve">EN 14104</w:t>
            </w:r>
          </w:p>
        </w:tc>
      </w:tr>
      <w:tr>
        <w:tc>
          <w:tcPr/>
          <w:p>
            <w:pPr>
              <w:pStyle w:val="Compact"/>
              <w:jc w:val="left"/>
            </w:pPr>
            <w:r>
              <w:rPr>
                <w:b/>
                <w:bCs/>
              </w:rPr>
              <w:t xml:space="preserve">Iodine Value</w:t>
            </w:r>
          </w:p>
        </w:tc>
        <w:tc>
          <w:tcPr/>
          <w:p>
            <w:pPr>
              <w:pStyle w:val="Compact"/>
              <w:jc w:val="left"/>
            </w:pPr>
            <w:r>
              <w:t xml:space="preserve">g I₂/100g</w:t>
            </w:r>
          </w:p>
        </w:tc>
        <w:tc>
          <w:tcPr/>
          <w:p>
            <w:pPr>
              <w:pStyle w:val="Compact"/>
              <w:jc w:val="left"/>
            </w:pPr>
            <w:r>
              <w:t xml:space="preserve">-</w:t>
            </w:r>
          </w:p>
        </w:tc>
        <w:tc>
          <w:tcPr/>
          <w:p>
            <w:pPr>
              <w:pStyle w:val="Compact"/>
              <w:jc w:val="left"/>
            </w:pPr>
            <w:r>
              <w:t xml:space="preserve">120</w:t>
            </w:r>
          </w:p>
        </w:tc>
        <w:tc>
          <w:tcPr/>
          <w:p>
            <w:pPr>
              <w:pStyle w:val="Compact"/>
              <w:jc w:val="left"/>
            </w:pPr>
            <w:r>
              <w:t xml:space="preserve">EN 14111</w:t>
            </w:r>
          </w:p>
        </w:tc>
      </w:tr>
      <w:tr>
        <w:tc>
          <w:tcPr/>
          <w:p>
            <w:pPr>
              <w:pStyle w:val="Compact"/>
              <w:jc w:val="left"/>
            </w:pPr>
            <w:r>
              <w:rPr>
                <w:b/>
                <w:bCs/>
              </w:rPr>
              <w:t xml:space="preserve">Methanol Content</w:t>
            </w:r>
          </w:p>
        </w:tc>
        <w:tc>
          <w:tcPr/>
          <w:p>
            <w:pPr>
              <w:pStyle w:val="Compact"/>
              <w:jc w:val="left"/>
            </w:pPr>
            <w:r>
              <w:t xml:space="preserve">% (m/m)</w:t>
            </w:r>
          </w:p>
        </w:tc>
        <w:tc>
          <w:tcPr/>
          <w:p>
            <w:pPr>
              <w:pStyle w:val="Compact"/>
              <w:jc w:val="left"/>
            </w:pPr>
            <w:r>
              <w:t xml:space="preserve">-</w:t>
            </w:r>
          </w:p>
        </w:tc>
        <w:tc>
          <w:tcPr/>
          <w:p>
            <w:pPr>
              <w:pStyle w:val="Compact"/>
              <w:jc w:val="left"/>
            </w:pPr>
            <w:r>
              <w:t xml:space="preserve">0.20</w:t>
            </w:r>
          </w:p>
        </w:tc>
        <w:tc>
          <w:tcPr/>
          <w:p>
            <w:pPr>
              <w:pStyle w:val="Compact"/>
              <w:jc w:val="left"/>
            </w:pPr>
            <w:r>
              <w:t xml:space="preserve">EN 14110</w:t>
            </w:r>
          </w:p>
        </w:tc>
      </w:tr>
      <w:tr>
        <w:tc>
          <w:tcPr/>
          <w:p>
            <w:pPr>
              <w:pStyle w:val="Compact"/>
              <w:jc w:val="left"/>
            </w:pPr>
            <w:r>
              <w:rPr>
                <w:b/>
                <w:bCs/>
              </w:rPr>
              <w:t xml:space="preserve">Group I Metals (Na+K)</w:t>
            </w:r>
          </w:p>
        </w:tc>
        <w:tc>
          <w:tcPr/>
          <w:p>
            <w:pPr>
              <w:pStyle w:val="Compact"/>
              <w:jc w:val="left"/>
            </w:pPr>
            <w:r>
              <w:t xml:space="preserve">mg/kg</w:t>
            </w:r>
          </w:p>
        </w:tc>
        <w:tc>
          <w:tcPr/>
          <w:p>
            <w:pPr>
              <w:pStyle w:val="Compact"/>
              <w:jc w:val="left"/>
            </w:pPr>
            <w:r>
              <w:t xml:space="preserve">-</w:t>
            </w:r>
          </w:p>
        </w:tc>
        <w:tc>
          <w:tcPr/>
          <w:p>
            <w:pPr>
              <w:pStyle w:val="Compact"/>
              <w:jc w:val="left"/>
            </w:pPr>
            <w:r>
              <w:t xml:space="preserve">5.0</w:t>
            </w:r>
          </w:p>
        </w:tc>
        <w:tc>
          <w:tcPr/>
          <w:p>
            <w:pPr>
              <w:pStyle w:val="Compact"/>
              <w:jc w:val="left"/>
            </w:pPr>
            <w:r>
              <w:t xml:space="preserve">EN 14108 / EN 14538</w:t>
            </w:r>
          </w:p>
        </w:tc>
      </w:tr>
      <w:tr>
        <w:tc>
          <w:tcPr/>
          <w:p>
            <w:pPr>
              <w:pStyle w:val="Compact"/>
              <w:jc w:val="left"/>
            </w:pPr>
            <w:r>
              <w:rPr>
                <w:b/>
                <w:bCs/>
              </w:rPr>
              <w:t xml:space="preserve">Group II Metals (Ca+Mg)</w:t>
            </w:r>
          </w:p>
        </w:tc>
        <w:tc>
          <w:tcPr/>
          <w:p>
            <w:pPr>
              <w:pStyle w:val="Compact"/>
              <w:jc w:val="left"/>
            </w:pPr>
            <w:r>
              <w:t xml:space="preserve">mg/kg</w:t>
            </w:r>
          </w:p>
        </w:tc>
        <w:tc>
          <w:tcPr/>
          <w:p>
            <w:pPr>
              <w:pStyle w:val="Compact"/>
              <w:jc w:val="left"/>
            </w:pPr>
            <w:r>
              <w:t xml:space="preserve">-</w:t>
            </w:r>
          </w:p>
        </w:tc>
        <w:tc>
          <w:tcPr/>
          <w:p>
            <w:pPr>
              <w:pStyle w:val="Compact"/>
              <w:jc w:val="left"/>
            </w:pPr>
            <w:r>
              <w:t xml:space="preserve">5.0</w:t>
            </w:r>
          </w:p>
        </w:tc>
        <w:tc>
          <w:tcPr/>
          <w:p>
            <w:pPr>
              <w:pStyle w:val="Compact"/>
              <w:jc w:val="left"/>
            </w:pPr>
            <w:r>
              <w:t xml:space="preserve">EN 14109 / EN 14538</w:t>
            </w:r>
          </w:p>
        </w:tc>
      </w:tr>
      <w:tr>
        <w:tc>
          <w:tcPr/>
          <w:p>
            <w:pPr>
              <w:pStyle w:val="Compact"/>
              <w:jc w:val="left"/>
            </w:pPr>
            <w:r>
              <w:rPr>
                <w:b/>
                <w:bCs/>
              </w:rPr>
              <w:t xml:space="preserve">Phosphorus Content</w:t>
            </w:r>
          </w:p>
        </w:tc>
        <w:tc>
          <w:tcPr/>
          <w:p>
            <w:pPr>
              <w:pStyle w:val="Compact"/>
              <w:jc w:val="left"/>
            </w:pPr>
            <w:r>
              <w:t xml:space="preserve">mg/kg</w:t>
            </w:r>
          </w:p>
        </w:tc>
        <w:tc>
          <w:tcPr/>
          <w:p>
            <w:pPr>
              <w:pStyle w:val="Compact"/>
              <w:jc w:val="left"/>
            </w:pPr>
            <w:r>
              <w:t xml:space="preserve">-</w:t>
            </w:r>
          </w:p>
        </w:tc>
        <w:tc>
          <w:tcPr/>
          <w:p>
            <w:pPr>
              <w:pStyle w:val="Compact"/>
              <w:jc w:val="left"/>
            </w:pPr>
            <w:r>
              <w:t xml:space="preserve">4.0</w:t>
            </w:r>
          </w:p>
        </w:tc>
        <w:tc>
          <w:tcPr/>
          <w:p>
            <w:pPr>
              <w:pStyle w:val="Compact"/>
              <w:jc w:val="left"/>
            </w:pPr>
            <w:r>
              <w:t xml:space="preserve">EN 14107</w:t>
            </w:r>
          </w:p>
        </w:tc>
      </w:tr>
      <w:tr>
        <w:tc>
          <w:tcPr/>
          <w:p>
            <w:pPr>
              <w:pStyle w:val="Compact"/>
              <w:jc w:val="left"/>
            </w:pPr>
            <w:r>
              <w:rPr>
                <w:b/>
                <w:bCs/>
              </w:rPr>
              <w:t xml:space="preserve">Cold Filter Plugging Point (CFPP)</w:t>
            </w:r>
          </w:p>
        </w:tc>
        <w:tc>
          <w:tcPr/>
          <w:p>
            <w:pPr>
              <w:pStyle w:val="Compact"/>
              <w:jc w:val="left"/>
            </w:pPr>
            <w:r>
              <w:t xml:space="preserve">°C</w:t>
            </w:r>
          </w:p>
        </w:tc>
        <w:tc>
          <w:tcPr/>
          <w:p>
            <w:pPr>
              <w:pStyle w:val="Compact"/>
              <w:jc w:val="left"/>
            </w:pPr>
            <w:r>
              <w:t xml:space="preserve">-</w:t>
            </w:r>
          </w:p>
        </w:tc>
        <w:tc>
          <w:tcPr/>
          <w:p>
            <w:pPr>
              <w:pStyle w:val="Compact"/>
              <w:jc w:val="left"/>
            </w:pPr>
            <w:r>
              <w:rPr>
                <w:rStyle w:val="VerbatimChar"/>
              </w:rPr>
              <w:t xml:space="preserve">[Specify value based on season/customer]</w:t>
            </w:r>
          </w:p>
        </w:tc>
        <w:tc>
          <w:tcPr/>
          <w:p>
            <w:pPr>
              <w:pStyle w:val="Compact"/>
              <w:jc w:val="left"/>
            </w:pPr>
            <w:r>
              <w:t xml:space="preserve">EN 116</w:t>
            </w:r>
          </w:p>
        </w:tc>
      </w:tr>
    </w:tbl>
    <w:p>
      <w:pPr>
        <w:pStyle w:val="BlockText"/>
      </w:pPr>
      <w:r>
        <w:rPr>
          <w:b/>
          <w:bCs/>
        </w:rPr>
        <w:t xml:space="preserve">Note:</w:t>
      </w:r>
      <w:r>
        <w:t xml:space="preserve"> </w:t>
      </w:r>
      <w:r>
        <w:t xml:space="preserve">The CFPP limit is subject to seasonal variation and specific customer requirements as outlined in the national annex or customer quality agreement.</w:t>
      </w:r>
    </w:p>
    <w:p>
      <w:r>
        <w:pict>
          <v:rect style="width:0;height:1.5pt" o:hralign="center" o:hrstd="t" o:hr="t"/>
        </w:pict>
      </w:r>
    </w:p>
    <w:bookmarkEnd w:id="21"/>
    <w:bookmarkStart w:id="22" w:name="qaqc-procedures"/>
    <w:p>
      <w:pPr>
        <w:pStyle w:val="Heading3"/>
      </w:pPr>
      <w:r>
        <w:rPr>
          <w:b/>
          <w:bCs/>
        </w:rPr>
        <w:t xml:space="preserve">3.0 QA/QC Procedures</w:t>
      </w:r>
    </w:p>
    <w:p>
      <w:pPr>
        <w:pStyle w:val="FirstParagraph"/>
      </w:pPr>
      <w:r>
        <w:t xml:space="preserve">Quality is managed through a multi-stage control process, mirroring a Hazard Analysis and Critical Control Points (HACCP) methodology adapted for chemical production.</w:t>
      </w:r>
    </w:p>
    <w:p>
      <w:pPr>
        <w:pStyle w:val="BodyText"/>
      </w:pPr>
      <w:r>
        <w:rPr>
          <w:b/>
          <w:bCs/>
        </w:rPr>
        <w:t xml:space="preserve">3.1. Incoming Material Quality Control (Feedstock)</w:t>
      </w:r>
      <w:r>
        <w:t xml:space="preserve"> </w:t>
      </w:r>
      <w:r>
        <w:t xml:space="preserve">-</w:t>
      </w:r>
      <w:r>
        <w:t xml:space="preserve"> </w:t>
      </w:r>
      <w:r>
        <w:rPr>
          <w:b/>
          <w:bCs/>
        </w:rPr>
        <w:t xml:space="preserve">Supplier Vetting:</w:t>
      </w:r>
      <w:r>
        <w:t xml:space="preserve"> </w:t>
      </w:r>
      <w:r>
        <w:t xml:space="preserve">All UCO suppliers must be approved and certified under a recognized scheme (e.g., ISCC). Verification of the supplier’s active certificate is mandatory before procurement.</w:t>
      </w:r>
      <w:r>
        <w:t xml:space="preserve"> </w:t>
      </w:r>
      <w:r>
        <w:t xml:space="preserve">-</w:t>
      </w:r>
      <w:r>
        <w:t xml:space="preserve"> </w:t>
      </w:r>
      <w:r>
        <w:rPr>
          <w:b/>
          <w:bCs/>
        </w:rPr>
        <w:t xml:space="preserve">Reception Testing:</w:t>
      </w:r>
      <w:r>
        <w:t xml:space="preserve"> </w:t>
      </w:r>
      <w:r>
        <w:t xml:space="preserve">Each incoming tanker of UCO is sampled prior to unloading.</w:t>
      </w:r>
      <w:r>
        <w:t xml:space="preserve"> </w:t>
      </w:r>
      <w:r>
        <w:t xml:space="preserve">-</w:t>
      </w:r>
      <w:r>
        <w:t xml:space="preserve"> </w:t>
      </w:r>
      <w:r>
        <w:rPr>
          <w:b/>
          <w:bCs/>
        </w:rPr>
        <w:t xml:space="preserve">Key Tests:</w:t>
      </w:r>
      <w:r>
        <w:t xml:space="preserve"> </w:t>
      </w:r>
      <w:r>
        <w:t xml:space="preserve">Free Fatty Acid (FFA) content, water content, and visual inspection for impurities.</w:t>
      </w:r>
      <w:r>
        <w:t xml:space="preserve"> </w:t>
      </w:r>
      <w:r>
        <w:t xml:space="preserve">-</w:t>
      </w:r>
      <w:r>
        <w:t xml:space="preserve"> </w:t>
      </w:r>
      <w:r>
        <w:rPr>
          <w:b/>
          <w:bCs/>
        </w:rPr>
        <w:t xml:space="preserve">Acceptance Criteria:</w:t>
      </w:r>
      <w:r>
        <w:t xml:space="preserve"> </w:t>
      </w:r>
      <w:r>
        <w:t xml:space="preserve">FFA must be within the process tolerance of</w:t>
      </w:r>
      <w:r>
        <w:t xml:space="preserve"> </w:t>
      </w:r>
      <w:r>
        <w:rPr>
          <w:rStyle w:val="VerbatimChar"/>
        </w:rPr>
        <w:t xml:space="preserve">[Specify FFA % limit]</w:t>
      </w:r>
      <w:r>
        <w:t xml:space="preserve">. Deliveries exceeding this limit or showing excessive contamination are rejected and documented in the Non-Conformance Register.</w:t>
      </w:r>
      <w:r>
        <w:t xml:space="preserve"> </w:t>
      </w:r>
      <w:r>
        <w:t xml:space="preserve">-</w:t>
      </w:r>
      <w:r>
        <w:t xml:space="preserve"> </w:t>
      </w:r>
      <w:r>
        <w:rPr>
          <w:b/>
          <w:bCs/>
        </w:rPr>
        <w:t xml:space="preserve">Traceability:</w:t>
      </w:r>
      <w:r>
        <w:t xml:space="preserve"> </w:t>
      </w:r>
      <w:r>
        <w:t xml:space="preserve">Each accepted delivery is assigned a unique Goods Inward Number (GIN) which links to the supplier’s Proof of Sustainability (PoS) document.</w:t>
      </w:r>
    </w:p>
    <w:p>
      <w:pPr>
        <w:pStyle w:val="BodyText"/>
      </w:pPr>
      <w:r>
        <w:rPr>
          <w:b/>
          <w:bCs/>
        </w:rPr>
        <w:t xml:space="preserve">3.2. In-Process Quality Control (IPQC)</w:t>
      </w:r>
      <w:r>
        <w:t xml:space="preserve"> </w:t>
      </w:r>
      <w:r>
        <w:t xml:space="preserve">Critical process parameters are monitored to ensure the transesterification reaction proceeds to completion.</w:t>
      </w:r>
    </w:p>
    <w:tbl>
      <w:tblPr>
        <w:tblStyle w:val="Table"/>
        <w:tblW w:type="pct" w:w="5000"/>
        <w:jc w:val="left"/>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Control Point</w:t>
            </w:r>
          </w:p>
        </w:tc>
        <w:tc>
          <w:tcPr/>
          <w:p>
            <w:pPr>
              <w:pStyle w:val="Compact"/>
              <w:jc w:val="left"/>
            </w:pPr>
            <w:r>
              <w:t xml:space="preserve">Monitored Parameter</w:t>
            </w:r>
          </w:p>
        </w:tc>
        <w:tc>
          <w:tcPr/>
          <w:p>
            <w:pPr>
              <w:pStyle w:val="Compact"/>
              <w:jc w:val="left"/>
            </w:pPr>
            <w:r>
              <w:t xml:space="preserve">Frequency</w:t>
            </w:r>
          </w:p>
        </w:tc>
        <w:tc>
          <w:tcPr/>
          <w:p>
            <w:pPr>
              <w:pStyle w:val="Compact"/>
              <w:jc w:val="left"/>
            </w:pPr>
            <w:r>
              <w:t xml:space="preserve">Action if Deviated</w:t>
            </w:r>
          </w:p>
        </w:tc>
      </w:tr>
      <w:tr>
        <w:tc>
          <w:tcPr/>
          <w:p>
            <w:pPr>
              <w:pStyle w:val="Compact"/>
              <w:jc w:val="left"/>
            </w:pPr>
            <w:r>
              <w:rPr>
                <w:b/>
                <w:bCs/>
              </w:rPr>
              <w:t xml:space="preserve">Transesterification Reactor</w:t>
            </w:r>
          </w:p>
        </w:tc>
        <w:tc>
          <w:tcPr/>
          <w:p>
            <w:pPr>
              <w:pStyle w:val="Compact"/>
              <w:jc w:val="left"/>
            </w:pPr>
            <w:r>
              <w:t xml:space="preserve">Temperature, Agitation Speed</w:t>
            </w:r>
          </w:p>
        </w:tc>
        <w:tc>
          <w:tcPr/>
          <w:p>
            <w:pPr>
              <w:pStyle w:val="Compact"/>
              <w:jc w:val="left"/>
            </w:pPr>
            <w:r>
              <w:t xml:space="preserve">Continuous</w:t>
            </w:r>
          </w:p>
        </w:tc>
        <w:tc>
          <w:tcPr/>
          <w:p>
            <w:pPr>
              <w:pStyle w:val="Compact"/>
              <w:jc w:val="left"/>
            </w:pPr>
            <w:r>
              <w:t xml:space="preserve">Adjust heating/motor controls.</w:t>
            </w:r>
          </w:p>
        </w:tc>
      </w:tr>
      <w:tr>
        <w:tc>
          <w:tcPr/>
          <w:p>
            <w:pPr>
              <w:pStyle w:val="Compact"/>
              <w:jc w:val="left"/>
            </w:pPr>
            <w:r>
              <w:rPr>
                <w:b/>
                <w:bCs/>
              </w:rPr>
              <w:t xml:space="preserve">Post-Reaction Sample</w:t>
            </w:r>
          </w:p>
        </w:tc>
        <w:tc>
          <w:tcPr/>
          <w:p>
            <w:pPr>
              <w:pStyle w:val="Compact"/>
              <w:jc w:val="left"/>
            </w:pPr>
            <w:r>
              <w:t xml:space="preserve">Conversion Rate (via GC)</w:t>
            </w:r>
          </w:p>
        </w:tc>
        <w:tc>
          <w:tcPr/>
          <w:p>
            <w:pPr>
              <w:pStyle w:val="Compact"/>
              <w:jc w:val="left"/>
            </w:pPr>
            <w:r>
              <w:t xml:space="preserve">Per reaction vessel</w:t>
            </w:r>
          </w:p>
        </w:tc>
        <w:tc>
          <w:tcPr/>
          <w:p>
            <w:pPr>
              <w:pStyle w:val="Compact"/>
              <w:jc w:val="left"/>
            </w:pPr>
            <w:r>
              <w:t xml:space="preserve">Allow additional reaction time or adjust catalyst dosage for next run.</w:t>
            </w:r>
          </w:p>
        </w:tc>
      </w:tr>
      <w:tr>
        <w:tc>
          <w:tcPr/>
          <w:p>
            <w:pPr>
              <w:pStyle w:val="Compact"/>
              <w:jc w:val="left"/>
            </w:pPr>
            <w:r>
              <w:rPr>
                <w:b/>
                <w:bCs/>
              </w:rPr>
              <w:t xml:space="preserve">Washing/Purification</w:t>
            </w:r>
          </w:p>
        </w:tc>
        <w:tc>
          <w:tcPr/>
          <w:p>
            <w:pPr>
              <w:pStyle w:val="Compact"/>
              <w:jc w:val="left"/>
            </w:pPr>
            <w:r>
              <w:t xml:space="preserve">pH, Water Clarity</w:t>
            </w:r>
          </w:p>
        </w:tc>
        <w:tc>
          <w:tcPr/>
          <w:p>
            <w:pPr>
              <w:pStyle w:val="Compact"/>
              <w:jc w:val="left"/>
            </w:pPr>
            <w:r>
              <w:t xml:space="preserve">Each wash cycle</w:t>
            </w:r>
          </w:p>
        </w:tc>
        <w:tc>
          <w:tcPr/>
          <w:p>
            <w:pPr>
              <w:pStyle w:val="Compact"/>
              <w:jc w:val="left"/>
            </w:pPr>
            <w:r>
              <w:t xml:space="preserve">Continue washing cycles until neutral pH and clear water is achieved.</w:t>
            </w:r>
          </w:p>
        </w:tc>
      </w:tr>
      <w:tr>
        <w:tc>
          <w:tcPr/>
          <w:p>
            <w:pPr>
              <w:pStyle w:val="Compact"/>
              <w:jc w:val="left"/>
            </w:pPr>
            <w:r>
              <w:rPr>
                <w:b/>
                <w:bCs/>
              </w:rPr>
              <w:t xml:space="preserve">Drying</w:t>
            </w:r>
          </w:p>
        </w:tc>
        <w:tc>
          <w:tcPr/>
          <w:p>
            <w:pPr>
              <w:pStyle w:val="Compact"/>
              <w:jc w:val="left"/>
            </w:pPr>
            <w:r>
              <w:t xml:space="preserve">Water Content (Karl Fischer)</w:t>
            </w:r>
          </w:p>
        </w:tc>
        <w:tc>
          <w:tcPr/>
          <w:p>
            <w:pPr>
              <w:pStyle w:val="Compact"/>
              <w:jc w:val="left"/>
            </w:pPr>
            <w:r>
              <w:t xml:space="preserve">Post-drying</w:t>
            </w:r>
          </w:p>
        </w:tc>
        <w:tc>
          <w:tcPr/>
          <w:p>
            <w:pPr>
              <w:pStyle w:val="Compact"/>
              <w:jc w:val="left"/>
            </w:pPr>
            <w:r>
              <w:t xml:space="preserve">Continue vacuum drying until water content is &lt; 100 ppm.</w:t>
            </w:r>
          </w:p>
        </w:tc>
      </w:tr>
    </w:tbl>
    <w:p>
      <w:pPr>
        <w:pStyle w:val="BodyText"/>
      </w:pPr>
      <w:r>
        <w:rPr>
          <w:b/>
          <w:bCs/>
        </w:rPr>
        <w:t xml:space="preserve">3.3. Final Product Quality Control (FPQC)</w:t>
      </w:r>
      <w:r>
        <w:t xml:space="preserve"> </w:t>
      </w:r>
      <w:r>
        <w:t xml:space="preserve">-</w:t>
      </w:r>
      <w:r>
        <w:t xml:space="preserve"> </w:t>
      </w:r>
      <w:r>
        <w:rPr>
          <w:b/>
          <w:bCs/>
        </w:rPr>
        <w:t xml:space="preserve">Batch Homogenization:</w:t>
      </w:r>
      <w:r>
        <w:t xml:space="preserve"> </w:t>
      </w:r>
      <w:r>
        <w:t xml:space="preserve">The finished product is transferred to a dedicated Final Product Tank and circulated to ensure homogeneity.</w:t>
      </w:r>
      <w:r>
        <w:t xml:space="preserve"> </w:t>
      </w:r>
      <w:r>
        <w:t xml:space="preserve">-</w:t>
      </w:r>
      <w:r>
        <w:t xml:space="preserve"> </w:t>
      </w:r>
      <w:r>
        <w:rPr>
          <w:b/>
          <w:bCs/>
        </w:rPr>
        <w:t xml:space="preserve">Final Sample:</w:t>
      </w:r>
      <w:r>
        <w:t xml:space="preserve"> </w:t>
      </w:r>
      <w:r>
        <w:t xml:space="preserve">A representative sample is drawn from the tank using a specified methodology (e.g.,</w:t>
      </w:r>
      <w:r>
        <w:t xml:space="preserve"> </w:t>
      </w:r>
      <w:r>
        <w:rPr>
          <w:rStyle w:val="VerbatimChar"/>
        </w:rPr>
        <w:t xml:space="preserve">[Specify sampling standard, e.g., ASTM D4057]</w:t>
      </w:r>
      <w:r>
        <w:t xml:space="preserve">).</w:t>
      </w:r>
      <w:r>
        <w:t xml:space="preserve"> </w:t>
      </w:r>
      <w:r>
        <w:t xml:space="preserve">-</w:t>
      </w:r>
      <w:r>
        <w:t xml:space="preserve"> </w:t>
      </w:r>
      <w:r>
        <w:rPr>
          <w:b/>
          <w:bCs/>
        </w:rPr>
        <w:t xml:space="preserve">Full Specification Testing:</w:t>
      </w:r>
      <w:r>
        <w:t xml:space="preserve"> </w:t>
      </w:r>
      <w:r>
        <w:t xml:space="preserve">The sample undergoes comprehensive testing against all EN 14214 parameters as listed in Section 2.0.</w:t>
      </w:r>
      <w:r>
        <w:t xml:space="preserve"> </w:t>
      </w:r>
      <w:r>
        <w:t xml:space="preserve">-</w:t>
      </w:r>
      <w:r>
        <w:t xml:space="preserve"> </w:t>
      </w:r>
      <w:r>
        <w:rPr>
          <w:b/>
          <w:bCs/>
        </w:rPr>
        <w:t xml:space="preserve">Release:</w:t>
      </w:r>
      <w:r>
        <w:t xml:space="preserve"> </w:t>
      </w:r>
      <w:r>
        <w:t xml:space="preserve">A batch is only approved for release upon successful completion of all tests and generation of a compliant Certificate of Analysis.</w:t>
      </w:r>
    </w:p>
    <w:p>
      <w:r>
        <w:pict>
          <v:rect style="width:0;height:1.5pt" o:hralign="center" o:hrstd="t" o:hr="t"/>
        </w:pict>
      </w:r>
    </w:p>
    <w:bookmarkEnd w:id="22"/>
    <w:bookmarkStart w:id="23" w:name="Xc755ba0ddc9461333ff5fd4e0284892ab7eb3f6"/>
    <w:p>
      <w:pPr>
        <w:pStyle w:val="Heading3"/>
      </w:pPr>
      <w:r>
        <w:rPr>
          <w:b/>
          <w:bCs/>
        </w:rPr>
        <w:t xml:space="preserve">4.0 Sampling, Testing, and Laboratory Requirements</w:t>
      </w:r>
    </w:p>
    <w:p>
      <w:pPr>
        <w:pStyle w:val="FirstParagraph"/>
      </w:pPr>
      <w:r>
        <w:rPr>
          <w:b/>
          <w:bCs/>
        </w:rPr>
        <w:t xml:space="preserve">4.1. Batch Definition</w:t>
      </w:r>
      <w:r>
        <w:t xml:space="preserve"> </w:t>
      </w:r>
      <w:r>
        <w:t xml:space="preserve">A</w:t>
      </w:r>
      <w:r>
        <w:t xml:space="preserve"> </w:t>
      </w:r>
      <w:r>
        <w:rPr>
          <w:b/>
          <w:bCs/>
        </w:rPr>
        <w:t xml:space="preserve">“</w:t>
      </w:r>
      <w:r>
        <w:rPr>
          <w:b/>
          <w:bCs/>
        </w:rPr>
        <w:t xml:space="preserve">batch</w:t>
      </w:r>
      <w:r>
        <w:rPr>
          <w:b/>
          <w:bCs/>
        </w:rPr>
        <w:t xml:space="preserve">”</w:t>
      </w:r>
      <w:r>
        <w:t xml:space="preserve"> </w:t>
      </w:r>
      <w:r>
        <w:t xml:space="preserve">is defined as a discrete, homogeneous quantity of biodiesel produced and held within a single, designated Final Product Tank (e.g., Tank</w:t>
      </w:r>
      <w:r>
        <w:t xml:space="preserve"> </w:t>
      </w:r>
      <w:r>
        <w:rPr>
          <w:rStyle w:val="VerbatimChar"/>
        </w:rPr>
        <w:t xml:space="preserve">[Tank ID]</w:t>
      </w:r>
      <w:r>
        <w:t xml:space="preserve">). No additional product may be added to a tank after the final batch sample has been drawn. The maximum batch size is</w:t>
      </w:r>
      <w:r>
        <w:t xml:space="preserve"> </w:t>
      </w:r>
      <w:r>
        <w:rPr>
          <w:rStyle w:val="VerbatimChar"/>
        </w:rPr>
        <w:t xml:space="preserve">[Specify volume, e.g., 500 m³]</w:t>
      </w:r>
      <w:r>
        <w:t xml:space="preserve">.</w:t>
      </w:r>
    </w:p>
    <w:p>
      <w:pPr>
        <w:pStyle w:val="BodyText"/>
      </w:pPr>
      <w:r>
        <w:rPr>
          <w:b/>
          <w:bCs/>
        </w:rPr>
        <w:t xml:space="preserve">4.2. Sampling Frequency and Plan</w:t>
      </w:r>
    </w:p>
    <w:tbl>
      <w:tblPr>
        <w:tblStyle w:val="Table"/>
        <w:tblW w:type="pct" w:w="5000"/>
        <w:jc w:val="left"/>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Stage</w:t>
            </w:r>
          </w:p>
        </w:tc>
        <w:tc>
          <w:tcPr/>
          <w:p>
            <w:pPr>
              <w:pStyle w:val="Compact"/>
              <w:jc w:val="left"/>
            </w:pPr>
            <w:r>
              <w:t xml:space="preserve">Sample Point</w:t>
            </w:r>
          </w:p>
        </w:tc>
        <w:tc>
          <w:tcPr/>
          <w:p>
            <w:pPr>
              <w:pStyle w:val="Compact"/>
              <w:jc w:val="left"/>
            </w:pPr>
            <w:r>
              <w:t xml:space="preserve">Frequency</w:t>
            </w:r>
          </w:p>
        </w:tc>
        <w:tc>
          <w:tcPr/>
          <w:p>
            <w:pPr>
              <w:pStyle w:val="Compact"/>
              <w:jc w:val="left"/>
            </w:pPr>
            <w:r>
              <w:t xml:space="preserve">Purpose</w:t>
            </w:r>
          </w:p>
        </w:tc>
      </w:tr>
      <w:tr>
        <w:tc>
          <w:tcPr/>
          <w:p>
            <w:pPr>
              <w:pStyle w:val="Compact"/>
              <w:jc w:val="left"/>
            </w:pPr>
            <w:r>
              <w:rPr>
                <w:b/>
                <w:bCs/>
              </w:rPr>
              <w:t xml:space="preserve">Goods Inward</w:t>
            </w:r>
          </w:p>
        </w:tc>
        <w:tc>
          <w:tcPr/>
          <w:p>
            <w:pPr>
              <w:pStyle w:val="Compact"/>
              <w:jc w:val="left"/>
            </w:pPr>
            <w:r>
              <w:t xml:space="preserve">UCO Tanker</w:t>
            </w:r>
          </w:p>
        </w:tc>
        <w:tc>
          <w:tcPr/>
          <w:p>
            <w:pPr>
              <w:pStyle w:val="Compact"/>
              <w:jc w:val="left"/>
            </w:pPr>
            <w:r>
              <w:t xml:space="preserve">Per Delivery</w:t>
            </w:r>
          </w:p>
        </w:tc>
        <w:tc>
          <w:tcPr/>
          <w:p>
            <w:pPr>
              <w:pStyle w:val="Compact"/>
              <w:jc w:val="left"/>
            </w:pPr>
            <w:r>
              <w:t xml:space="preserve">Feedstock acceptance</w:t>
            </w:r>
          </w:p>
        </w:tc>
      </w:tr>
      <w:tr>
        <w:tc>
          <w:tcPr/>
          <w:p>
            <w:pPr>
              <w:pStyle w:val="Compact"/>
              <w:jc w:val="left"/>
            </w:pPr>
            <w:r>
              <w:rPr>
                <w:b/>
                <w:bCs/>
              </w:rPr>
              <w:t xml:space="preserve">In-Process</w:t>
            </w:r>
          </w:p>
        </w:tc>
        <w:tc>
          <w:tcPr/>
          <w:p>
            <w:pPr>
              <w:pStyle w:val="Compact"/>
              <w:jc w:val="left"/>
            </w:pPr>
            <w:r>
              <w:t xml:space="preserve">Reactor Vessel</w:t>
            </w:r>
          </w:p>
        </w:tc>
        <w:tc>
          <w:tcPr/>
          <w:p>
            <w:pPr>
              <w:pStyle w:val="Compact"/>
              <w:jc w:val="left"/>
            </w:pPr>
            <w:r>
              <w:t xml:space="preserve">Per Reaction</w:t>
            </w:r>
          </w:p>
        </w:tc>
        <w:tc>
          <w:tcPr/>
          <w:p>
            <w:pPr>
              <w:pStyle w:val="Compact"/>
              <w:jc w:val="left"/>
            </w:pPr>
            <w:r>
              <w:t xml:space="preserve">Monitor reaction conversion</w:t>
            </w:r>
          </w:p>
        </w:tc>
      </w:tr>
      <w:tr>
        <w:tc>
          <w:tcPr/>
          <w:p>
            <w:pPr>
              <w:pStyle w:val="Compact"/>
              <w:jc w:val="left"/>
            </w:pPr>
            <w:r>
              <w:rPr>
                <w:b/>
                <w:bCs/>
              </w:rPr>
              <w:t xml:space="preserve">In-Process</w:t>
            </w:r>
          </w:p>
        </w:tc>
        <w:tc>
          <w:tcPr/>
          <w:p>
            <w:pPr>
              <w:pStyle w:val="Compact"/>
              <w:jc w:val="left"/>
            </w:pPr>
            <w:r>
              <w:t xml:space="preserve">Purifier Outlet</w:t>
            </w:r>
          </w:p>
        </w:tc>
        <w:tc>
          <w:tcPr/>
          <w:p>
            <w:pPr>
              <w:pStyle w:val="Compact"/>
              <w:jc w:val="left"/>
            </w:pPr>
            <w:r>
              <w:t xml:space="preserve">Per Wash Cycle</w:t>
            </w:r>
          </w:p>
        </w:tc>
        <w:tc>
          <w:tcPr/>
          <w:p>
            <w:pPr>
              <w:pStyle w:val="Compact"/>
              <w:jc w:val="left"/>
            </w:pPr>
            <w:r>
              <w:t xml:space="preserve">Confirm removal of impurities</w:t>
            </w:r>
          </w:p>
        </w:tc>
      </w:tr>
      <w:tr>
        <w:tc>
          <w:tcPr/>
          <w:p>
            <w:pPr>
              <w:pStyle w:val="Compact"/>
              <w:jc w:val="left"/>
            </w:pPr>
            <w:r>
              <w:rPr>
                <w:b/>
                <w:bCs/>
              </w:rPr>
              <w:t xml:space="preserve">In-Process</w:t>
            </w:r>
          </w:p>
        </w:tc>
        <w:tc>
          <w:tcPr/>
          <w:p>
            <w:pPr>
              <w:pStyle w:val="Compact"/>
              <w:jc w:val="left"/>
            </w:pPr>
            <w:r>
              <w:t xml:space="preserve">Dryer Outlet</w:t>
            </w:r>
          </w:p>
        </w:tc>
        <w:tc>
          <w:tcPr/>
          <w:p>
            <w:pPr>
              <w:pStyle w:val="Compact"/>
              <w:jc w:val="left"/>
            </w:pPr>
            <w:r>
              <w:t xml:space="preserve">Post-Drying</w:t>
            </w:r>
          </w:p>
        </w:tc>
        <w:tc>
          <w:tcPr/>
          <w:p>
            <w:pPr>
              <w:pStyle w:val="Compact"/>
              <w:jc w:val="left"/>
            </w:pPr>
            <w:r>
              <w:t xml:space="preserve">Confirm water removal</w:t>
            </w:r>
          </w:p>
        </w:tc>
      </w:tr>
      <w:tr>
        <w:tc>
          <w:tcPr/>
          <w:p>
            <w:pPr>
              <w:pStyle w:val="Compact"/>
              <w:jc w:val="left"/>
            </w:pPr>
            <w:r>
              <w:rPr>
                <w:b/>
                <w:bCs/>
              </w:rPr>
              <w:t xml:space="preserve">Final Product</w:t>
            </w:r>
          </w:p>
        </w:tc>
        <w:tc>
          <w:tcPr/>
          <w:p>
            <w:pPr>
              <w:pStyle w:val="Compact"/>
              <w:jc w:val="left"/>
            </w:pPr>
            <w:r>
              <w:t xml:space="preserve">Final Product Tank</w:t>
            </w:r>
          </w:p>
        </w:tc>
        <w:tc>
          <w:tcPr/>
          <w:p>
            <w:pPr>
              <w:pStyle w:val="Compact"/>
              <w:jc w:val="left"/>
            </w:pPr>
            <w:r>
              <w:t xml:space="preserve">Per Batch</w:t>
            </w:r>
          </w:p>
        </w:tc>
        <w:tc>
          <w:tcPr/>
          <w:p>
            <w:pPr>
              <w:pStyle w:val="Compact"/>
              <w:jc w:val="left"/>
            </w:pPr>
            <w:r>
              <w:t xml:space="preserve">Certification and Release</w:t>
            </w:r>
          </w:p>
        </w:tc>
      </w:tr>
    </w:tbl>
    <w:p>
      <w:pPr>
        <w:pStyle w:val="BodyText"/>
      </w:pPr>
      <w:r>
        <w:rPr>
          <w:b/>
          <w:bCs/>
        </w:rPr>
        <w:t xml:space="preserve">4.3. Laboratory Requirements</w:t>
      </w:r>
      <w:r>
        <w:t xml:space="preserve"> </w:t>
      </w:r>
      <w:r>
        <w:t xml:space="preserve">-</w:t>
      </w:r>
      <w:r>
        <w:t xml:space="preserve"> </w:t>
      </w:r>
      <w:r>
        <w:rPr>
          <w:b/>
          <w:bCs/>
        </w:rPr>
        <w:t xml:space="preserve">On-site Laboratory:</w:t>
      </w:r>
      <w:r>
        <w:t xml:space="preserve"> </w:t>
      </w:r>
      <w:r>
        <w:t xml:space="preserve">Equipped for rapid in-process testing (e.g., FFA, water content, pH, GC for conversion rate). Equipment must be calibrated according to a defined schedule.</w:t>
      </w:r>
      <w:r>
        <w:t xml:space="preserve"> </w:t>
      </w:r>
      <w:r>
        <w:t xml:space="preserve">-</w:t>
      </w:r>
      <w:r>
        <w:t xml:space="preserve"> </w:t>
      </w:r>
      <w:r>
        <w:rPr>
          <w:b/>
          <w:bCs/>
        </w:rPr>
        <w:t xml:space="preserve">External Accredited Laboratory:</w:t>
      </w:r>
      <w:r>
        <w:t xml:space="preserve"> </w:t>
      </w:r>
      <w:r>
        <w:t xml:space="preserve">All final batch release testing for the Certificate of Analysis must be performed by a third-party laboratory accredited to</w:t>
      </w:r>
      <w:r>
        <w:t xml:space="preserve"> </w:t>
      </w:r>
      <w:r>
        <w:rPr>
          <w:b/>
          <w:bCs/>
        </w:rPr>
        <w:t xml:space="preserve">ISO/IEC 17025</w:t>
      </w:r>
      <w:r>
        <w:t xml:space="preserve"> </w:t>
      </w:r>
      <w:r>
        <w:t xml:space="preserve">for the relevant EN/ISO test methods.</w:t>
      </w:r>
      <w:r>
        <w:t xml:space="preserve"> </w:t>
      </w:r>
      <w:r>
        <w:t xml:space="preserve">-</w:t>
      </w:r>
      <w:r>
        <w:t xml:space="preserve"> </w:t>
      </w:r>
      <w:r>
        <w:rPr>
          <w:b/>
          <w:bCs/>
        </w:rPr>
        <w:t xml:space="preserve">Laboratory Selection:</w:t>
      </w:r>
      <w:r>
        <w:t xml:space="preserve"> </w:t>
      </w:r>
      <w:r>
        <w:t xml:space="preserve">An approved list of accredited laboratories will be maintained by the QA department. Performance and turnaround times will be reviewed annually.</w:t>
      </w:r>
    </w:p>
    <w:p>
      <w:r>
        <w:pict>
          <v:rect style="width:0;height:1.5pt" o:hralign="center" o:hrstd="t" o:hr="t"/>
        </w:pict>
      </w:r>
    </w:p>
    <w:bookmarkEnd w:id="23"/>
    <w:bookmarkStart w:id="24" w:name="batch-traceability-procedure"/>
    <w:p>
      <w:pPr>
        <w:pStyle w:val="Heading3"/>
      </w:pPr>
      <w:r>
        <w:rPr>
          <w:b/>
          <w:bCs/>
        </w:rPr>
        <w:t xml:space="preserve">5.0 Batch Traceability Procedure</w:t>
      </w:r>
    </w:p>
    <w:p>
      <w:pPr>
        <w:pStyle w:val="FirstParagraph"/>
      </w:pPr>
      <w:r>
        <w:t xml:space="preserve">A robust traceability system is essential for quality control, auditing (ISCC, RTFO), and potential product recalls.</w:t>
      </w:r>
    </w:p>
    <w:p>
      <w:pPr>
        <w:pStyle w:val="BodyText"/>
      </w:pPr>
      <w:r>
        <w:rPr>
          <w:b/>
          <w:bCs/>
        </w:rPr>
        <w:t xml:space="preserve">5.1. Batch Numbering System</w:t>
      </w:r>
      <w:r>
        <w:t xml:space="preserve"> </w:t>
      </w:r>
      <w:r>
        <w:t xml:space="preserve">Each batch of finished biodiesel is assigned a unique Batch Number upon transfer to a Final Product Tank.</w:t>
      </w:r>
      <w:r>
        <w:t xml:space="preserve"> </w:t>
      </w:r>
      <w:r>
        <w:t xml:space="preserve">-</w:t>
      </w:r>
      <w:r>
        <w:t xml:space="preserve"> </w:t>
      </w:r>
      <w:r>
        <w:rPr>
          <w:b/>
          <w:bCs/>
        </w:rPr>
        <w:t xml:space="preserve">Format:</w:t>
      </w:r>
      <w:r>
        <w:t xml:space="preserve"> </w:t>
      </w:r>
      <w:r>
        <w:rPr>
          <w:rStyle w:val="VerbatimChar"/>
        </w:rPr>
        <w:t xml:space="preserve">[YY][MM][DD]-[TankID]-[Seq#]</w:t>
      </w:r>
      <w:r>
        <w:t xml:space="preserve"> </w:t>
      </w:r>
      <w:r>
        <w:t xml:space="preserve">-</w:t>
      </w:r>
      <w:r>
        <w:t xml:space="preserve"> </w:t>
      </w:r>
      <w:r>
        <w:rPr>
          <w:b/>
          <w:bCs/>
        </w:rPr>
        <w:t xml:space="preserve">Example:</w:t>
      </w:r>
      <w:r>
        <w:t xml:space="preserve"> </w:t>
      </w:r>
      <w:r>
        <w:rPr>
          <w:rStyle w:val="VerbatimChar"/>
        </w:rPr>
        <w:t xml:space="preserve">250828-FPT01-01</w:t>
      </w:r>
      <w:r>
        <w:t xml:space="preserve"> </w:t>
      </w:r>
      <w:r>
        <w:t xml:space="preserve">signifies the first batch produced on August 28, 2025, stored in Final Product Tank 01.</w:t>
      </w:r>
    </w:p>
    <w:p>
      <w:pPr>
        <w:pStyle w:val="BodyText"/>
      </w:pPr>
      <w:r>
        <w:rPr>
          <w:b/>
          <w:bCs/>
        </w:rPr>
        <w:t xml:space="preserve">5.2. Batch Production Record (BPR)</w:t>
      </w:r>
      <w:r>
        <w:t xml:space="preserve"> </w:t>
      </w:r>
      <w:r>
        <w:t xml:space="preserve">A BPR is maintained for every batch. It serves as the central traceability document and includes:</w:t>
      </w:r>
      <w:r>
        <w:t xml:space="preserve"> </w:t>
      </w:r>
      <w:r>
        <w:t xml:space="preserve">- Batch Number.</w:t>
      </w:r>
      <w:r>
        <w:t xml:space="preserve"> </w:t>
      </w:r>
      <w:r>
        <w:t xml:space="preserve">- Date of Production.</w:t>
      </w:r>
      <w:r>
        <w:t xml:space="preserve"> </w:t>
      </w:r>
      <w:r>
        <w:t xml:space="preserve">- GINs of all UCO feedstock used.</w:t>
      </w:r>
      <w:r>
        <w:t xml:space="preserve"> </w:t>
      </w:r>
      <w:r>
        <w:t xml:space="preserve">- Quantities and batch numbers of catalyst and methanol used.</w:t>
      </w:r>
      <w:r>
        <w:t xml:space="preserve"> </w:t>
      </w:r>
      <w:r>
        <w:t xml:space="preserve">- Key IPQC results and operator sign-offs.</w:t>
      </w:r>
      <w:r>
        <w:t xml:space="preserve"> </w:t>
      </w:r>
      <w:r>
        <w:t xml:space="preserve">- Link to the final Certificate of Analysis.</w:t>
      </w:r>
      <w:r>
        <w:t xml:space="preserve"> </w:t>
      </w:r>
      <w:r>
        <w:t xml:space="preserve">- Dispatch details (customer, tanker ID, date, volume).</w:t>
      </w:r>
    </w:p>
    <w:p>
      <w:pPr>
        <w:pStyle w:val="BlockText"/>
      </w:pPr>
      <w:r>
        <w:t xml:space="preserve">BPRs must be retained for a minimum of</w:t>
      </w:r>
      <w:r>
        <w:t xml:space="preserve"> </w:t>
      </w:r>
      <w:r>
        <w:rPr>
          <w:b/>
          <w:bCs/>
        </w:rPr>
        <w:t xml:space="preserve">7 years</w:t>
      </w:r>
      <w:r>
        <w:t xml:space="preserve">.</w:t>
      </w:r>
    </w:p>
    <w:p>
      <w:r>
        <w:pict>
          <v:rect style="width:0;height:1.5pt" o:hralign="center" o:hrstd="t" o:hr="t"/>
        </w:pict>
      </w:r>
    </w:p>
    <w:bookmarkEnd w:id="24"/>
    <w:bookmarkStart w:id="25" w:name="non-conformance-capa-protocol"/>
    <w:p>
      <w:pPr>
        <w:pStyle w:val="Heading3"/>
      </w:pPr>
      <w:r>
        <w:rPr>
          <w:b/>
          <w:bCs/>
        </w:rPr>
        <w:t xml:space="preserve">6.0 Non-Conformance &amp; CAPA Protocol</w:t>
      </w:r>
    </w:p>
    <w:p>
      <w:pPr>
        <w:pStyle w:val="FirstParagraph"/>
      </w:pPr>
      <w:r>
        <w:rPr>
          <w:b/>
          <w:bCs/>
        </w:rPr>
        <w:t xml:space="preserve">6.1. Identification and Quarantine</w:t>
      </w:r>
      <w:r>
        <w:t xml:space="preserve"> </w:t>
      </w:r>
      <w:r>
        <w:t xml:space="preserve">Any material (feedstock, in-process, or final product) that fails to meet its specified quality criteria is immediately identified with a</w:t>
      </w:r>
      <w:r>
        <w:t xml:space="preserve"> </w:t>
      </w:r>
      <w:r>
        <w:rPr>
          <w:b/>
          <w:bCs/>
        </w:rPr>
        <w:t xml:space="preserve">“</w:t>
      </w:r>
      <w:r>
        <w:rPr>
          <w:b/>
          <w:bCs/>
        </w:rPr>
        <w:t xml:space="preserve">QUARANTINE - DO NOT USE</w:t>
      </w:r>
      <w:r>
        <w:rPr>
          <w:b/>
          <w:bCs/>
        </w:rPr>
        <w:t xml:space="preserve">”</w:t>
      </w:r>
      <w:r>
        <w:t xml:space="preserve"> </w:t>
      </w:r>
      <w:r>
        <w:t xml:space="preserve">tag. The material is segregated physically or administratively in the control system to prevent accidental use or dispatch.</w:t>
      </w:r>
    </w:p>
    <w:p>
      <w:pPr>
        <w:pStyle w:val="BodyText"/>
      </w:pPr>
      <w:r>
        <w:rPr>
          <w:b/>
          <w:bCs/>
        </w:rPr>
        <w:t xml:space="preserve">6.2. Non-Conformance Report (NCR) and Investigation</w:t>
      </w:r>
      <w:r>
        <w:t xml:space="preserve"> </w:t>
      </w:r>
      <w:r>
        <w:t xml:space="preserve">- An NCR is raised, documenting the batch number, the failed parameter, and the result.</w:t>
      </w:r>
      <w:r>
        <w:t xml:space="preserve"> </w:t>
      </w:r>
      <w:r>
        <w:t xml:space="preserve">- A Root Cause Analysis (RCA) is initiated by the QA Manager to determine the cause of the failure (e.g., raw material issue, process deviation, equipment malfunction).</w:t>
      </w:r>
    </w:p>
    <w:p>
      <w:pPr>
        <w:pStyle w:val="BodyText"/>
      </w:pPr>
      <w:r>
        <w:rPr>
          <w:b/>
          <w:bCs/>
        </w:rPr>
        <w:t xml:space="preserve">6.3. Disposition</w:t>
      </w:r>
      <w:r>
        <w:t xml:space="preserve"> </w:t>
      </w:r>
      <w:r>
        <w:t xml:space="preserve">Based on the RCA, the QA Manager, in consultation with the Production Manager, will decide on the disposition of the non-conforming material:</w:t>
      </w:r>
      <w:r>
        <w:t xml:space="preserve"> </w:t>
      </w:r>
      <w:r>
        <w:t xml:space="preserve">-</w:t>
      </w:r>
      <w:r>
        <w:t xml:space="preserve"> </w:t>
      </w:r>
      <w:r>
        <w:rPr>
          <w:b/>
          <w:bCs/>
        </w:rPr>
        <w:t xml:space="preserve">Reprocessing:</w:t>
      </w:r>
      <w:r>
        <w:t xml:space="preserve"> </w:t>
      </w:r>
      <w:r>
        <w:t xml:space="preserve">The batch may be re-worked to bring it back into specification (e.g., re-washing, re-drying, blending). The reprocessed batch must undergo full re-testing.</w:t>
      </w:r>
      <w:r>
        <w:t xml:space="preserve"> </w:t>
      </w:r>
      <w:r>
        <w:t xml:space="preserve">-</w:t>
      </w:r>
      <w:r>
        <w:t xml:space="preserve"> </w:t>
      </w:r>
      <w:r>
        <w:rPr>
          <w:b/>
          <w:bCs/>
        </w:rPr>
        <w:t xml:space="preserve">Downgrading:</w:t>
      </w:r>
      <w:r>
        <w:t xml:space="preserve"> </w:t>
      </w:r>
      <w:r>
        <w:t xml:space="preserve">The batch may be sold for a lower-grade application if a suitable market exists and the customer accepts the deviation in writing.</w:t>
      </w:r>
      <w:r>
        <w:t xml:space="preserve"> </w:t>
      </w:r>
      <w:r>
        <w:t xml:space="preserve">-</w:t>
      </w:r>
      <w:r>
        <w:t xml:space="preserve"> </w:t>
      </w:r>
      <w:r>
        <w:rPr>
          <w:b/>
          <w:bCs/>
        </w:rPr>
        <w:t xml:space="preserve">Disposal:</w:t>
      </w:r>
      <w:r>
        <w:t xml:space="preserve"> </w:t>
      </w:r>
      <w:r>
        <w:t xml:space="preserve">The batch must be disposed of as waste in accordance with environmental regulations, with all movements documented via Waste Transfer Notes.</w:t>
      </w:r>
    </w:p>
    <w:p>
      <w:pPr>
        <w:pStyle w:val="BodyText"/>
      </w:pPr>
      <w:r>
        <w:rPr>
          <w:b/>
          <w:bCs/>
        </w:rPr>
        <w:t xml:space="preserve">6.4. Corrective and Preventive Action (CAPA)</w:t>
      </w:r>
      <w:r>
        <w:t xml:space="preserve"> </w:t>
      </w:r>
      <w:r>
        <w:t xml:space="preserve">For any significant or recurring non-conformance, a CAPA plan is created to prevent recurrence. This involves implementing changes to procedures, training, equipment, or maintenance schedules. The effectiveness of the CAPA will be tracked and verified.</w:t>
      </w:r>
    </w:p>
    <w:p>
      <w:r>
        <w:pict>
          <v:rect style="width:0;height:1.5pt" o:hralign="center" o:hrstd="t" o:hr="t"/>
        </w:pict>
      </w:r>
    </w:p>
    <w:bookmarkEnd w:id="25"/>
    <w:bookmarkStart w:id="26" w:name="Xf788a19bf57bfc61f8643460644198e94327e20"/>
    <w:p>
      <w:pPr>
        <w:pStyle w:val="Heading3"/>
      </w:pPr>
      <w:r>
        <w:rPr>
          <w:b/>
          <w:bCs/>
        </w:rPr>
        <w:t xml:space="preserve">7.0 Product Dispatch: Labeling &amp; Documentation Bundle</w:t>
      </w:r>
    </w:p>
    <w:p>
      <w:pPr>
        <w:pStyle w:val="FirstParagraph"/>
      </w:pPr>
      <w:r>
        <w:rPr>
          <w:b/>
          <w:bCs/>
        </w:rPr>
        <w:t xml:space="preserve">7.1. Product Labeling</w:t>
      </w:r>
      <w:r>
        <w:t xml:space="preserve"> </w:t>
      </w:r>
      <w:r>
        <w:t xml:space="preserve">All transport containers (road tankers, ISO tanks) must be correctly labeled before leaving the site. The label or accompanying placard must include:</w:t>
      </w:r>
      <w:r>
        <w:t xml:space="preserve"> </w:t>
      </w:r>
      <w:r>
        <w:t xml:space="preserve">-</w:t>
      </w:r>
      <w:r>
        <w:t xml:space="preserve"> </w:t>
      </w:r>
      <w:r>
        <w:rPr>
          <w:b/>
          <w:bCs/>
        </w:rPr>
        <w:t xml:space="preserve">Product Name:</w:t>
      </w:r>
      <w:r>
        <w:t xml:space="preserve"> </w:t>
      </w:r>
      <w:r>
        <w:t xml:space="preserve">Biodiesel (B100)</w:t>
      </w:r>
      <w:r>
        <w:t xml:space="preserve"> </w:t>
      </w:r>
      <w:r>
        <w:t xml:space="preserve">-</w:t>
      </w:r>
      <w:r>
        <w:t xml:space="preserve"> </w:t>
      </w:r>
      <w:r>
        <w:rPr>
          <w:b/>
          <w:bCs/>
        </w:rPr>
        <w:t xml:space="preserve">Standard:</w:t>
      </w:r>
      <w:r>
        <w:t xml:space="preserve"> </w:t>
      </w:r>
      <w:r>
        <w:t xml:space="preserve">Conforms to EN 14214</w:t>
      </w:r>
      <w:r>
        <w:t xml:space="preserve"> </w:t>
      </w:r>
      <w:r>
        <w:t xml:space="preserve">-</w:t>
      </w:r>
      <w:r>
        <w:t xml:space="preserve"> </w:t>
      </w:r>
      <w:r>
        <w:rPr>
          <w:b/>
          <w:bCs/>
        </w:rPr>
        <w:t xml:space="preserve">Batch Number:</w:t>
      </w:r>
      <w:r>
        <w:t xml:space="preserve"> </w:t>
      </w:r>
      <w:r>
        <w:rPr>
          <w:rStyle w:val="VerbatimChar"/>
        </w:rPr>
        <w:t xml:space="preserve">[Batch Number]</w:t>
      </w:r>
      <w:r>
        <w:t xml:space="preserve"> </w:t>
      </w:r>
      <w:r>
        <w:t xml:space="preserve">-</w:t>
      </w:r>
      <w:r>
        <w:t xml:space="preserve"> </w:t>
      </w:r>
      <w:r>
        <w:rPr>
          <w:b/>
          <w:bCs/>
        </w:rPr>
        <w:t xml:space="preserve">Net Quantity:</w:t>
      </w:r>
      <w:r>
        <w:t xml:space="preserve"> </w:t>
      </w:r>
      <w:r>
        <w:rPr>
          <w:rStyle w:val="VerbatimChar"/>
        </w:rPr>
        <w:t xml:space="preserve">[Volume] L</w:t>
      </w:r>
      <w:r>
        <w:t xml:space="preserve"> </w:t>
      </w:r>
      <w:r>
        <w:t xml:space="preserve">or</w:t>
      </w:r>
      <w:r>
        <w:t xml:space="preserve"> </w:t>
      </w:r>
      <w:r>
        <w:rPr>
          <w:rStyle w:val="VerbatimChar"/>
        </w:rPr>
        <w:t xml:space="preserve">[Weight] kg</w:t>
      </w:r>
      <w:r>
        <w:t xml:space="preserve"> </w:t>
      </w:r>
      <w:r>
        <w:t xml:space="preserve">-</w:t>
      </w:r>
      <w:r>
        <w:t xml:space="preserve"> </w:t>
      </w:r>
      <w:r>
        <w:rPr>
          <w:b/>
          <w:bCs/>
        </w:rPr>
        <w:t xml:space="preserve">Hazard Information:</w:t>
      </w:r>
      <w:r>
        <w:t xml:space="preserve"> </w:t>
      </w:r>
      <w:r>
        <w:t xml:space="preserve">Relevant ADR/CLP pictograms and information.</w:t>
      </w:r>
    </w:p>
    <w:p>
      <w:pPr>
        <w:pStyle w:val="BodyText"/>
      </w:pPr>
      <w:r>
        <w:rPr>
          <w:b/>
          <w:bCs/>
        </w:rPr>
        <w:t xml:space="preserve">7.2. Dispatch Documentation Bundle</w:t>
      </w:r>
      <w:r>
        <w:t xml:space="preserve"> </w:t>
      </w:r>
      <w:r>
        <w:t xml:space="preserve">Every dispatched load must be accompanied by the following documents:</w:t>
      </w:r>
      <w:r>
        <w:t xml:space="preserve"> </w:t>
      </w:r>
      <w:r>
        <w:t xml:space="preserve">1.</w:t>
      </w:r>
      <w:r>
        <w:t xml:space="preserve"> </w:t>
      </w:r>
      <w:r>
        <w:rPr>
          <w:b/>
          <w:bCs/>
        </w:rPr>
        <w:t xml:space="preserve">Certificate of Analysis (CoA):</w:t>
      </w:r>
      <w:r>
        <w:t xml:space="preserve"> </w:t>
      </w:r>
      <w:r>
        <w:t xml:space="preserve">The official CoA for the specific batch being shipped (see template below).</w:t>
      </w:r>
      <w:r>
        <w:t xml:space="preserve"> </w:t>
      </w:r>
      <w:r>
        <w:t xml:space="preserve">2.</w:t>
      </w:r>
      <w:r>
        <w:t xml:space="preserve"> </w:t>
      </w:r>
      <w:r>
        <w:rPr>
          <w:b/>
          <w:bCs/>
        </w:rPr>
        <w:t xml:space="preserve">Safety Data Sheet (SDS):</w:t>
      </w:r>
      <w:r>
        <w:t xml:space="preserve"> </w:t>
      </w:r>
      <w:r>
        <w:t xml:space="preserve">The current, compliant SDS for B100.</w:t>
      </w:r>
      <w:r>
        <w:t xml:space="preserve"> </w:t>
      </w:r>
      <w:r>
        <w:t xml:space="preserve">3.</w:t>
      </w:r>
      <w:r>
        <w:t xml:space="preserve"> </w:t>
      </w:r>
      <w:r>
        <w:rPr>
          <w:b/>
          <w:bCs/>
        </w:rPr>
        <w:t xml:space="preserve">Bill of Lading / Delivery Note:</w:t>
      </w:r>
      <w:r>
        <w:t xml:space="preserve"> </w:t>
      </w:r>
      <w:r>
        <w:t xml:space="preserve">Containing details of the product, quantity, customer, and destination.</w:t>
      </w:r>
      <w:r>
        <w:t xml:space="preserve"> </w:t>
      </w:r>
      <w:r>
        <w:t xml:space="preserve">4.</w:t>
      </w:r>
      <w:r>
        <w:t xml:space="preserve"> </w:t>
      </w:r>
      <w:r>
        <w:rPr>
          <w:b/>
          <w:bCs/>
        </w:rPr>
        <w:t xml:space="preserve">ADR Transport Document:</w:t>
      </w:r>
      <w:r>
        <w:t xml:space="preserve"> </w:t>
      </w:r>
      <w:r>
        <w:t xml:space="preserve">If classified as a dangerous good for transport.</w:t>
      </w:r>
    </w:p>
    <w:p>
      <w:r>
        <w:pict>
          <v:rect style="width:0;height:1.5pt" o:hralign="center" o:hrstd="t" o:hr="t"/>
        </w:pict>
      </w:r>
    </w:p>
    <w:bookmarkEnd w:id="26"/>
    <w:bookmarkStart w:id="27" w:name="templates"/>
    <w:p>
      <w:pPr>
        <w:pStyle w:val="Heading3"/>
      </w:pPr>
      <w:r>
        <w:rPr>
          <w:b/>
          <w:bCs/>
        </w:rPr>
        <w:t xml:space="preserve">8.0 Templates</w:t>
      </w:r>
    </w:p>
    <w:p>
      <w:pPr>
        <w:pStyle w:val="FirstParagraph"/>
      </w:pPr>
      <w:r>
        <w:rPr>
          <w:b/>
          <w:bCs/>
        </w:rPr>
        <w:t xml:space="preserve">8.1. Certificate of Analysis (CoA) Template</w:t>
      </w:r>
    </w:p>
    <w:p>
      <w:pPr>
        <w:pStyle w:val="SourceCode"/>
      </w:pPr>
      <w:r>
        <w:rPr>
          <w:rStyle w:val="VerbatimChar"/>
        </w:rPr>
        <w:t xml:space="preserve">                            [Your Company Name &amp; Logo]</w:t>
      </w:r>
      <w:r>
        <w:br/>
      </w:r>
      <w:r>
        <w:rPr>
          <w:rStyle w:val="VerbatimChar"/>
        </w:rPr>
        <w:t xml:space="preserve">                             [Company Address]</w:t>
      </w:r>
      <w:r>
        <w:br/>
      </w:r>
      <w:r>
        <w:rPr>
          <w:rStyle w:val="VerbatimChar"/>
        </w:rPr>
        <w:t xml:space="preserve">                             [Company Contact Info]</w:t>
      </w:r>
      <w:r>
        <w:br/>
      </w:r>
      <w:r>
        <w:br/>
      </w:r>
      <w:r>
        <w:rPr>
          <w:rStyle w:val="VerbatimChar"/>
        </w:rPr>
        <w:t xml:space="preserve">                            CERTIFICATE OF ANALYSIS</w:t>
      </w:r>
      <w:r>
        <w:br/>
      </w:r>
      <w:r>
        <w:rPr>
          <w:rStyle w:val="VerbatimChar"/>
        </w:rPr>
        <w:t xml:space="preserve">                                  BIODIESEL B100</w:t>
      </w:r>
      <w:r>
        <w:br/>
      </w:r>
      <w:r>
        <w:br/>
      </w:r>
      <w:r>
        <w:rPr>
          <w:rStyle w:val="VerbatimChar"/>
        </w:rPr>
        <w:t xml:space="preserve">----------------------------------------------------------------------------------------</w:t>
      </w:r>
      <w:r>
        <w:br/>
      </w:r>
      <w:r>
        <w:rPr>
          <w:rStyle w:val="VerbatimChar"/>
        </w:rPr>
        <w:t xml:space="preserve">Customer:               [Customer Name]               Certificate No:   COA-[Batch Number]</w:t>
      </w:r>
      <w:r>
        <w:br/>
      </w:r>
      <w:r>
        <w:rPr>
          <w:rStyle w:val="VerbatimChar"/>
        </w:rPr>
        <w:t xml:space="preserve">Product:                Biodiesel (FAME)              Production Date: [Date]</w:t>
      </w:r>
      <w:r>
        <w:br/>
      </w:r>
      <w:r>
        <w:rPr>
          <w:rStyle w:val="VerbatimChar"/>
        </w:rPr>
        <w:t xml:space="preserve">Standard:               EN 14214:2012+A2:2019         Sample Date:     [Date]</w:t>
      </w:r>
      <w:r>
        <w:br/>
      </w:r>
      <w:r>
        <w:rPr>
          <w:rStyle w:val="VerbatimChar"/>
        </w:rPr>
        <w:t xml:space="preserve">Batch Number:           [Batch Number]                Report Date:     [Date]</w:t>
      </w:r>
      <w:r>
        <w:br/>
      </w:r>
      <w:r>
        <w:rPr>
          <w:rStyle w:val="VerbatimChar"/>
        </w:rPr>
        <w:t xml:space="preserve">Quantity Shipped:       [Volume] Litres</w:t>
      </w:r>
      <w:r>
        <w:br/>
      </w:r>
      <w:r>
        <w:rPr>
          <w:rStyle w:val="VerbatimChar"/>
        </w:rPr>
        <w:t xml:space="preserve">----------------------------------------------------------------------------------------</w:t>
      </w:r>
      <w:r>
        <w:br/>
      </w:r>
      <w:r>
        <w:br/>
      </w:r>
      <w:r>
        <w:rPr>
          <w:rStyle w:val="VerbatimChar"/>
        </w:rPr>
        <w:t xml:space="preserve">ANALYTICAL RESULTS</w:t>
      </w:r>
      <w:r>
        <w:br/>
      </w:r>
      <w:r>
        <w:rPr>
          <w:rStyle w:val="VerbatimChar"/>
        </w:rPr>
        <w:t xml:space="preserve">----------------------------------------------------------------------------------------</w:t>
      </w:r>
      <w:r>
        <w:br/>
      </w:r>
      <w:r>
        <w:rPr>
          <w:rStyle w:val="VerbatimChar"/>
        </w:rPr>
        <w:t xml:space="preserve">| Property                | Unit      | Specification | Result | Test Method |</w:t>
      </w:r>
      <w:r>
        <w:br/>
      </w:r>
      <w:r>
        <w:rPr>
          <w:rStyle w:val="VerbatimChar"/>
        </w:rPr>
        <w:t xml:space="preserve">|-------------------------|-----------|---------------|--------|-------------|</w:t>
      </w:r>
      <w:r>
        <w:br/>
      </w:r>
      <w:r>
        <w:rPr>
          <w:rStyle w:val="VerbatimChar"/>
        </w:rPr>
        <w:t xml:space="preserve">| Ester Content           | % (m/m)   | min 96.5      | [Value]| EN 14103    |</w:t>
      </w:r>
      <w:r>
        <w:br/>
      </w:r>
      <w:r>
        <w:rPr>
          <w:rStyle w:val="VerbatimChar"/>
        </w:rPr>
        <w:t xml:space="preserve">| Density @ 15°C          | kg/m³     | 860 - 900     | [Value]| EN ISO 3675 |</w:t>
      </w:r>
      <w:r>
        <w:br/>
      </w:r>
      <w:r>
        <w:rPr>
          <w:rStyle w:val="VerbatimChar"/>
        </w:rPr>
        <w:t xml:space="preserve">| Viscosity @ 40°C        | mm²/s     | 3.5 - 5.0     | [Value]| EN ISO 3104 |</w:t>
      </w:r>
      <w:r>
        <w:br/>
      </w:r>
      <w:r>
        <w:rPr>
          <w:rStyle w:val="VerbatimChar"/>
        </w:rPr>
        <w:t xml:space="preserve">| Flash Point             | °C        | min 101       | [Value]| EN ISO 2719 |</w:t>
      </w:r>
      <w:r>
        <w:br/>
      </w:r>
      <w:r>
        <w:rPr>
          <w:rStyle w:val="VerbatimChar"/>
        </w:rPr>
        <w:t xml:space="preserve">| Sulphur Content         | mg/kg     | max 10.0      | [Value]| EN ISO 20846|</w:t>
      </w:r>
      <w:r>
        <w:br/>
      </w:r>
      <w:r>
        <w:rPr>
          <w:rStyle w:val="VerbatimChar"/>
        </w:rPr>
        <w:t xml:space="preserve">| Cetane Number           | -         | min 51.0      | [Value]| EN ISO 5165 |</w:t>
      </w:r>
      <w:r>
        <w:br/>
      </w:r>
      <w:r>
        <w:rPr>
          <w:rStyle w:val="VerbatimChar"/>
        </w:rPr>
        <w:t xml:space="preserve">| Total Glycerol          | % (m/m)   | max 0.25      | [Value]| EN 14105    |</w:t>
      </w:r>
      <w:r>
        <w:br/>
      </w:r>
      <w:r>
        <w:rPr>
          <w:rStyle w:val="VerbatimChar"/>
        </w:rPr>
        <w:t xml:space="preserve">| Water Content           | mg/kg     | max 500       | [Value]| EN ISO 12937|</w:t>
      </w:r>
      <w:r>
        <w:br/>
      </w:r>
      <w:r>
        <w:rPr>
          <w:rStyle w:val="VerbatimChar"/>
        </w:rPr>
        <w:t xml:space="preserve">| Oxidation Stability     | hours     | min 8         | [Value]| EN 15751    |</w:t>
      </w:r>
      <w:r>
        <w:br/>
      </w:r>
      <w:r>
        <w:rPr>
          <w:rStyle w:val="VerbatimChar"/>
        </w:rPr>
        <w:t xml:space="preserve">| CFPP                    | °C        | [Spec Value]  | [Value]| EN 116      |</w:t>
      </w:r>
      <w:r>
        <w:br/>
      </w:r>
      <w:r>
        <w:rPr>
          <w:rStyle w:val="VerbatimChar"/>
        </w:rPr>
        <w:t xml:space="preserve">| ...[Add all other parameters from Section 2.0]... |</w:t>
      </w:r>
      <w:r>
        <w:br/>
      </w:r>
      <w:r>
        <w:rPr>
          <w:rStyle w:val="VerbatimChar"/>
        </w:rPr>
        <w:t xml:space="preserve">----------------------------------------------------------------------------------------</w:t>
      </w:r>
      <w:r>
        <w:br/>
      </w:r>
      <w:r>
        <w:br/>
      </w:r>
      <w:r>
        <w:rPr>
          <w:rStyle w:val="VerbatimChar"/>
        </w:rPr>
        <w:t xml:space="preserve">Conclusion: The batch detailed above conforms to all tested parameters of the EN 14214:2012+A2:2019 specification.</w:t>
      </w:r>
      <w:r>
        <w:br/>
      </w:r>
      <w:r>
        <w:br/>
      </w:r>
      <w:r>
        <w:rPr>
          <w:rStyle w:val="VerbatimChar"/>
        </w:rPr>
        <w:t xml:space="preserve">Authorised By:</w:t>
      </w:r>
      <w:r>
        <w:br/>
      </w:r>
      <w:r>
        <w:rPr>
          <w:rStyle w:val="VerbatimChar"/>
        </w:rPr>
        <w:t xml:space="preserve">_________________________</w:t>
      </w:r>
      <w:r>
        <w:br/>
      </w:r>
      <w:r>
        <w:rPr>
          <w:rStyle w:val="VerbatimChar"/>
        </w:rPr>
        <w:t xml:space="preserve">[Name of QA Manager]</w:t>
      </w:r>
      <w:r>
        <w:br/>
      </w:r>
      <w:r>
        <w:rPr>
          <w:rStyle w:val="VerbatimChar"/>
        </w:rPr>
        <w:t xml:space="preserve">Quality Assurance Manager</w:t>
      </w:r>
      <w:r>
        <w:br/>
      </w:r>
      <w:r>
        <w:rPr>
          <w:rStyle w:val="VerbatimChar"/>
        </w:rPr>
        <w:t xml:space="preserve">[Project Name]</w:t>
      </w:r>
    </w:p>
    <w:p>
      <w:pPr>
        <w:pStyle w:val="FirstParagraph"/>
      </w:pPr>
      <w:r>
        <w:rPr>
          <w:b/>
          <w:bCs/>
        </w:rPr>
        <w:t xml:space="preserve">8.2. Customer Quality Agreement (Template Outline)</w:t>
      </w:r>
      <w:r>
        <w:t xml:space="preserve"> </w:t>
      </w:r>
      <w:r>
        <w:t xml:space="preserve">A formal Customer Quality Agreement should be established with all long-term customers. It should cover:</w:t>
      </w:r>
      <w:r>
        <w:t xml:space="preserve"> </w:t>
      </w:r>
      <w:r>
        <w:t xml:space="preserve">-</w:t>
      </w:r>
      <w:r>
        <w:t xml:space="preserve"> </w:t>
      </w:r>
      <w:r>
        <w:rPr>
          <w:b/>
          <w:bCs/>
        </w:rPr>
        <w:t xml:space="preserve">1. Scope &amp; Purpose:</w:t>
      </w:r>
      <w:r>
        <w:t xml:space="preserve"> </w:t>
      </w:r>
      <w:r>
        <w:t xml:space="preserve">Defines the agreement’s applicability.</w:t>
      </w:r>
      <w:r>
        <w:t xml:space="preserve"> </w:t>
      </w:r>
      <w:r>
        <w:t xml:space="preserve">-</w:t>
      </w:r>
      <w:r>
        <w:t xml:space="preserve"> </w:t>
      </w:r>
      <w:r>
        <w:rPr>
          <w:b/>
          <w:bCs/>
        </w:rPr>
        <w:t xml:space="preserve">2. Key Specifications:</w:t>
      </w:r>
      <w:r>
        <w:t xml:space="preserve"> </w:t>
      </w:r>
      <w:r>
        <w:t xml:space="preserve">References EN 14214 and any customer-specific requirements (e.g., seasonal CFPP).</w:t>
      </w:r>
      <w:r>
        <w:t xml:space="preserve"> </w:t>
      </w:r>
      <w:r>
        <w:t xml:space="preserve">-</w:t>
      </w:r>
      <w:r>
        <w:t xml:space="preserve"> </w:t>
      </w:r>
      <w:r>
        <w:rPr>
          <w:b/>
          <w:bCs/>
        </w:rPr>
        <w:t xml:space="preserve">3. Responsibilities:</w:t>
      </w:r>
      <w:r>
        <w:t xml:space="preserve"> </w:t>
      </w:r>
      <w:r>
        <w:t xml:space="preserve">Outlines the duties of</w:t>
      </w:r>
      <w:r>
        <w:t xml:space="preserve"> </w:t>
      </w:r>
      <w:r>
        <w:rPr>
          <w:rStyle w:val="VerbatimChar"/>
        </w:rPr>
        <w:t xml:space="preserve">[Project Name]</w:t>
      </w:r>
      <w:r>
        <w:t xml:space="preserve"> </w:t>
      </w:r>
      <w:r>
        <w:t xml:space="preserve">(the supplier) and the customer regarding quality.</w:t>
      </w:r>
      <w:r>
        <w:t xml:space="preserve"> </w:t>
      </w:r>
      <w:r>
        <w:t xml:space="preserve">-</w:t>
      </w:r>
      <w:r>
        <w:t xml:space="preserve"> </w:t>
      </w:r>
      <w:r>
        <w:rPr>
          <w:b/>
          <w:bCs/>
        </w:rPr>
        <w:t xml:space="preserve">4. Change Control:</w:t>
      </w:r>
      <w:r>
        <w:t xml:space="preserve"> </w:t>
      </w:r>
      <w:r>
        <w:t xml:space="preserve">Procedure for notifying the customer of significant process or material changes.</w:t>
      </w:r>
      <w:r>
        <w:t xml:space="preserve"> </w:t>
      </w:r>
      <w:r>
        <w:t xml:space="preserve">-</w:t>
      </w:r>
      <w:r>
        <w:t xml:space="preserve"> </w:t>
      </w:r>
      <w:r>
        <w:rPr>
          <w:b/>
          <w:bCs/>
        </w:rPr>
        <w:t xml:space="preserve">5. Non-Conformance &amp; Complaints:</w:t>
      </w:r>
      <w:r>
        <w:t xml:space="preserve"> </w:t>
      </w:r>
      <w:r>
        <w:t xml:space="preserve">Defines the process for handling out-of-spec deliveries and customer complaints.</w:t>
      </w:r>
      <w:r>
        <w:t xml:space="preserve"> </w:t>
      </w:r>
      <w:r>
        <w:t xml:space="preserve">-</w:t>
      </w:r>
      <w:r>
        <w:t xml:space="preserve"> </w:t>
      </w:r>
      <w:r>
        <w:rPr>
          <w:b/>
          <w:bCs/>
        </w:rPr>
        <w:t xml:space="preserve">6. Audits:</w:t>
      </w:r>
      <w:r>
        <w:t xml:space="preserve"> </w:t>
      </w:r>
      <w:r>
        <w:t xml:space="preserve">Customer’s right to audit the production facility.</w:t>
      </w:r>
      <w:r>
        <w:t xml:space="preserve"> </w:t>
      </w:r>
      <w:r>
        <w:t xml:space="preserve">-</w:t>
      </w:r>
      <w:r>
        <w:t xml:space="preserve"> </w:t>
      </w:r>
      <w:r>
        <w:rPr>
          <w:b/>
          <w:bCs/>
        </w:rPr>
        <w:t xml:space="preserve">7. Documentation:</w:t>
      </w:r>
      <w:r>
        <w:t xml:space="preserve"> </w:t>
      </w:r>
      <w:r>
        <w:t xml:space="preserve">Agreement on the format and delivery of CoAs and other documents.</w:t>
      </w:r>
      <w:r>
        <w:t xml:space="preserve"> </w:t>
      </w:r>
      <w:r>
        <w:t xml:space="preserve">-</w:t>
      </w:r>
      <w:r>
        <w:t xml:space="preserve"> </w:t>
      </w:r>
      <w:r>
        <w:rPr>
          <w:b/>
          <w:bCs/>
        </w:rPr>
        <w:t xml:space="preserve">8. Term &amp; Termination:</w:t>
      </w:r>
      <w:r>
        <w:t xml:space="preserve"> </w:t>
      </w:r>
      <w:r>
        <w:t xml:space="preserve">Duration of the agreement.</w:t>
      </w:r>
    </w:p>
    <w:p>
      <w:r>
        <w:pict>
          <v:rect style="width:0;height:1.5pt" o:hralign="center" o:hrstd="t" o:hr="t"/>
        </w:pict>
      </w:r>
    </w:p>
    <w:bookmarkEnd w:id="27"/>
    <w:bookmarkStart w:id="28" w:name="sources"/>
    <w:p>
      <w:pPr>
        <w:pStyle w:val="Heading3"/>
      </w:pPr>
      <w:r>
        <w:rPr>
          <w:b/>
          <w:bCs/>
        </w:rPr>
        <w:t xml:space="preserve">9.0 Sources</w:t>
      </w:r>
    </w:p>
    <w:p>
      <w:pPr>
        <w:pStyle w:val="FirstParagraph"/>
      </w:pPr>
      <w:r>
        <w:t xml:space="preserve">This document was created in accordance with the principles and data outlined in the following foundational research documents:</w:t>
      </w:r>
      <w:r>
        <w:t xml:space="preserve"> </w:t>
      </w:r>
      <w:r>
        <w:t xml:space="preserve">-</w:t>
      </w:r>
      <w:r>
        <w:t xml:space="preserve"> </w:t>
      </w:r>
      <w:r>
        <w:rPr>
          <w:rStyle w:val="VerbatimChar"/>
        </w:rPr>
        <w:t xml:space="preserve">biogas operations compliance document outline.md</w:t>
      </w:r>
      <w:r>
        <w:t xml:space="preserve"> </w:t>
      </w:r>
      <w:r>
        <w:t xml:space="preserve">-</w:t>
      </w:r>
      <w:r>
        <w:t xml:space="preserve"> </w:t>
      </w:r>
      <w:r>
        <w:rPr>
          <w:rStyle w:val="VerbatimChar"/>
        </w:rPr>
        <w:t xml:space="preserve">EN 14214 biodiesel fuel standard.md</w:t>
      </w:r>
      <w:r>
        <w:t xml:space="preserve"> </w:t>
      </w:r>
      <w:r>
        <w:t xml:space="preserve">-</w:t>
      </w:r>
      <w:r>
        <w:t xml:space="preserve"> </w:t>
      </w:r>
      <w:r>
        <w:rPr>
          <w:rStyle w:val="VerbatimChar"/>
        </w:rPr>
        <w:t xml:space="preserve">UK RTFO biodiesel UCO.md</w:t>
      </w:r>
      <w:r>
        <w:t xml:space="preserve"> </w:t>
      </w:r>
      <w:r>
        <w:t xml:space="preserve">-</w:t>
      </w:r>
      <w:r>
        <w:t xml:space="preserve"> </w:t>
      </w:r>
      <w:r>
        <w:rPr>
          <w:rStyle w:val="VerbatimChar"/>
        </w:rPr>
        <w:t xml:space="preserve">ISCC certification biodiesel UCO.md</w:t>
      </w:r>
      <w:r>
        <w:t xml:space="preserve"> </w:t>
      </w:r>
      <w:r>
        <w:t xml:space="preserve">-</w:t>
      </w:r>
      <w:r>
        <w:t xml:space="preserve"> </w:t>
      </w:r>
      <w:r>
        <w:rPr>
          <w:rStyle w:val="VerbatimChar"/>
        </w:rPr>
        <w:t xml:space="preserve">UK EU biodiesel Used Cooking Oil UCO regulations.md</w:t>
      </w:r>
      <w:r>
        <w:t xml:space="preserve"> </w:t>
      </w:r>
      <w:r>
        <w:t xml:space="preserve">-</w:t>
      </w:r>
      <w:r>
        <w:t xml:space="preserve"> </w:t>
      </w:r>
      <w:r>
        <w:rPr>
          <w:rStyle w:val="VerbatimChar"/>
        </w:rPr>
        <w:t xml:space="preserve">EU RED II RED III biodiesel UCO.md</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2025-08-28T04:04:04Z</dcterms:created>
  <dcterms:modified xsi:type="dcterms:W3CDTF">2025-08-28T04:04:04Z</dcterms:modified>
</cp:coreProperties>
</file>

<file path=docProps/custom.xml><?xml version="1.0" encoding="utf-8"?>
<Properties xmlns="http://schemas.openxmlformats.org/officeDocument/2006/custom-properties" xmlns:vt="http://schemas.openxmlformats.org/officeDocument/2006/docPropsVTypes"/>
</file>