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Non-Discrimination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True Therapy Consultants of Colorado LLC is committed to providing quality healthcare services to all individuals without discrimination on the basis of race, color, religion, sex, sexual orientation, gender identity or expression, national origin, age, disability, marital status, veteran status, or any other characteristic protected by applicable laws.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believe in promoting a safe, inclusive, and welcoming environment for all patients and staff members. Our practice adheres to all applicable federal, state, and local laws and regulations governing non-discrimination in healthcare.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commitment to non-discrimination extends to all aspects of our practice, including but not limited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Access to Care: We provide equal access to healthcare services, regardless of a person's protected characteristics. We do not deny services or treatment based on race, color, religion, sex, sexual orientation, gender identity or expression, national origin, age, disability, marital status, veteran status, or any other protected characteristic.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Treatment and Services: All individuals receive equal treatment and access to medical care, diagnostic tests, medications, procedures, and other healthcare services provided by our practice.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Staff and Employment: We do not discriminate in our hiring practices or employment decisions based on protected characteristics. We provide equal employment opportunities to all qualified individuals, without regard to race, color, religion, sex, sexual orientation, gender identity or expression, national origin, age, disability, marital status, veteran status, or any other protected characteristic.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Communication: We strive to ensure effective communication with all patients, regardless of their language proficiency or communication needs. We provide appropriate language assistance services and accommodations to facilitate clear and meaningful communication.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Complaints and Grievances: We have established procedures for addressing complaints and grievances related to discrimination or unequal treatment. If you believe you have been subjected to discrimination or have concerns about our non-discrimination practices, please contact our practice administrator [provide contact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Compliance and Training: We regularly review and update our policies and procedures to ensure compliance with non-discrimination laws. Our staff receives training on non-discrimination, cultural competency, and providing respectful and inclusive care.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are committed to creating an environment that values diversity, fosters respect, and ensures equal access to healthcare services for all individuals. If you have any questions or need further information regarding our non-discrimination policy, please do not hesitate to contact 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