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radiant-amateur-radios-cislunar-network"/>
    <w:p>
      <w:pPr>
        <w:pStyle w:val="Heading1"/>
      </w:pPr>
      <w:r>
        <w:t xml:space="preserve">RADIANT: Amateur Radio’s Cislunar Network</w:t>
      </w:r>
    </w:p>
    <w:p>
      <w:pPr>
        <w:pStyle w:val="FirstParagraph"/>
      </w:pPr>
      <w:r>
        <w:rPr>
          <w:b/>
          <w:bCs/>
        </w:rPr>
        <w:t xml:space="preserve">David Johnson, G4DPZ</w:t>
      </w:r>
    </w:p>
    <w:p>
      <w:pPr>
        <w:pStyle w:val="BodyText"/>
      </w:pPr>
      <w:r>
        <w:t xml:space="preserve">RADIANT — the Radio Amateur Delay-tolerant Interplanetary Networking Testbed — demonstrates amateur radio’s capability in space-grade networking protocols, which has two long term mission ambitions:</w:t>
      </w:r>
      <w:r>
        <w:t xml:space="preserve"> </w:t>
      </w:r>
      <w:r>
        <w:t xml:space="preserve">- DTN payload on LEO CubeSat</w:t>
      </w:r>
      <w:r>
        <w:t xml:space="preserve"> </w:t>
      </w:r>
      <w:r>
        <w:t xml:space="preserve">- ultimately cislunar networking node.</w:t>
      </w:r>
    </w:p>
    <w:p>
      <w:pPr>
        <w:pStyle w:val="BodyText"/>
      </w:pPr>
      <w:r>
        <w:t xml:space="preserve">This project is a collaboration between AMSAT-UK, AMSAT-DL and Goonhilly Earth Station and implements Bundle Protocol v7 and Licklider Transmission Protocol — the same standards NASA and ESA use for deep-space missions.</w:t>
      </w:r>
    </w:p>
    <w:bookmarkStart w:id="9" w:name="space-internet-standards"/>
    <w:p>
      <w:pPr>
        <w:pStyle w:val="Heading2"/>
      </w:pPr>
      <w:r>
        <w:t xml:space="preserve">Space Internet Standards</w:t>
      </w:r>
    </w:p>
    <w:p>
      <w:pPr>
        <w:pStyle w:val="FirstParagraph"/>
      </w:pPr>
      <w:r>
        <w:t xml:space="preserve">The protocols RADIANT uses aren’t experimental — they’re becoming the standard for space communications. In 2023, the Internet Society’s Interplanetary Chapter published a Solar System Internet governance framework co-authored by Vint Cerf, widely recognized as one of the</w:t>
      </w:r>
      <w:r>
        <w:t xml:space="preserve"> </w:t>
      </w:r>
      <w:r>
        <w:t xml:space="preserve">“fathers of the Internet”</w:t>
      </w:r>
      <w:r>
        <w:t xml:space="preserve"> </w:t>
      </w:r>
      <w:r>
        <w:t xml:space="preserve">for creating TCP/IP. Their recommendation: DTN and Bundle Protocol should be the foundation for all space communications that exceed IP’s capabilities.</w:t>
      </w:r>
    </w:p>
    <w:p>
      <w:pPr>
        <w:pStyle w:val="BodyText"/>
      </w:pPr>
      <w:r>
        <w:t xml:space="preserve">Both ESA’s Moonlight programme and NASA’s LunaNet specification mandate these same protocols. Through RADIANT, amateur radio participates as a stakeholder in this emerging interplanetary infrastructure.</w:t>
      </w:r>
    </w:p>
    <w:bookmarkEnd w:id="9"/>
    <w:bookmarkStart w:id="10" w:name="technical-approach"/>
    <w:p>
      <w:pPr>
        <w:pStyle w:val="Heading2"/>
      </w:pPr>
      <w:r>
        <w:t xml:space="preserve">Technical Approach</w:t>
      </w:r>
    </w:p>
    <w:p>
      <w:pPr>
        <w:pStyle w:val="FirstParagraph"/>
      </w:pPr>
      <w:r>
        <w:t xml:space="preserve">Internet protocols assume continuous connectivity. TCP requires multiple round trips — acceptable at millisecond delays but unworkable when satellites are visible briefly or the Moon is 1.3 light-seconds away.</w:t>
      </w:r>
    </w:p>
    <w:p>
      <w:pPr>
        <w:pStyle w:val="BodyText"/>
      </w:pPr>
      <w:r>
        <w:t xml:space="preserve">DTN uses store-and-forward like 1980s packet BBS. Bundles persist at nodes until links become available. LTP provides reliable delivery with deferred acknowledgments. Contact Graph Routing schedules transmissions predictably.</w:t>
      </w:r>
    </w:p>
    <w:p>
      <w:pPr>
        <w:pStyle w:val="BodyText"/>
      </w:pPr>
      <w:r>
        <w:t xml:space="preserve">These aren’t experimental — ISS runs DTN today. Korea’s lunar orbiter tested Bundle Protocol at lunar distance in 2024.</w:t>
      </w:r>
    </w:p>
    <w:p>
      <w:pPr>
        <w:pStyle w:val="BodyText"/>
      </w:pPr>
      <w:r>
        <w:t xml:space="preserve">RADIANT carries DTN directly in KISS frames, eliminating AX.25 entirely — 15 bytes saved per frame (~10% improvement). Station identification embeds in DTN Endpoint Identifiers (</w:t>
      </w:r>
      <w:r>
        <w:rPr>
          <w:rStyle w:val="VerbatimChar"/>
        </w:rPr>
        <w:t xml:space="preserve">dtn://g4dpz-1/service</w:t>
      </w:r>
      <w:r>
        <w:t xml:space="preserve">). Amateur callsigns solve global identifier allocation — no new registry required.</w:t>
      </w:r>
    </w:p>
    <w:p>
      <w:pPr>
        <w:pStyle w:val="BodyText"/>
      </w:pPr>
      <w:r>
        <w:rPr>
          <w:b/>
          <w:bCs/>
        </w:rPr>
        <w:t xml:space="preserve">[FIGURE 1: RADIANT Phase 1 ground station - Raspberry Pi running DTN software with Yaesu transceivers and TNC interfaces, validating space-grade networking protocols over standard 9600-baud packet radio links]</w:t>
      </w:r>
    </w:p>
    <w:bookmarkEnd w:id="10"/>
    <w:bookmarkStart w:id="11" w:name="four-phase-validation"/>
    <w:p>
      <w:pPr>
        <w:pStyle w:val="Heading2"/>
      </w:pPr>
      <w:r>
        <w:t xml:space="preserve">Four-Phase Validation</w:t>
      </w:r>
    </w:p>
    <w:p>
      <w:pPr>
        <w:pStyle w:val="FirstParagraph"/>
      </w:pPr>
      <w:r>
        <w:rPr>
          <w:b/>
          <w:bCs/>
        </w:rPr>
        <w:t xml:space="preserve">Phase 1 — Terrestrial (Complete):</w:t>
      </w:r>
      <w:r>
        <w:t xml:space="preserve"> </w:t>
      </w:r>
      <w:r>
        <w:t xml:space="preserve">RPi, TNC4, FT-817 at 9600 baud validated complete software stack over real amateur radio links.</w:t>
      </w:r>
    </w:p>
    <w:p>
      <w:pPr>
        <w:pStyle w:val="BodyText"/>
      </w:pPr>
      <w:r>
        <w:rPr>
          <w:b/>
          <w:bCs/>
        </w:rPr>
        <w:t xml:space="preserve">Phase 2 — QO-100 (In Progress):</w:t>
      </w:r>
      <w:r>
        <w:t xml:space="preserve"> </w:t>
      </w:r>
      <w:r>
        <w:t xml:space="preserve">DTN through Es’hail-2 narrowband transponder at 9600 bps provides space environment validation.</w:t>
      </w:r>
    </w:p>
    <w:p>
      <w:pPr>
        <w:pStyle w:val="BodyText"/>
      </w:pPr>
      <w:r>
        <w:rPr>
          <w:b/>
          <w:bCs/>
        </w:rPr>
        <w:t xml:space="preserve">Phase 3 — CubeSat Engineering:</w:t>
      </w:r>
      <w:r>
        <w:t xml:space="preserve"> </w:t>
      </w:r>
      <w:r>
        <w:t xml:space="preserve">Ground flatsat using flight STM32U585 with thermal/radiation testing.</w:t>
      </w:r>
    </w:p>
    <w:p>
      <w:pPr>
        <w:pStyle w:val="BodyText"/>
      </w:pPr>
      <w:r>
        <w:rPr>
          <w:b/>
          <w:bCs/>
        </w:rPr>
        <w:t xml:space="preserve">Phase 4 — Missions:</w:t>
      </w:r>
      <w:r>
        <w:t xml:space="preserve"> </w:t>
      </w:r>
      <w:r>
        <w:t xml:space="preserve">LEO CubeSat followed by cislunar operations.</w:t>
      </w:r>
    </w:p>
    <w:bookmarkEnd w:id="11"/>
    <w:bookmarkStart w:id="12" w:name="leo-cubesat-mission"/>
    <w:p>
      <w:pPr>
        <w:pStyle w:val="Heading2"/>
      </w:pPr>
      <w:r>
        <w:t xml:space="preserve">LEO CubeSat Mission</w:t>
      </w:r>
    </w:p>
    <w:p>
      <w:pPr>
        <w:pStyle w:val="FirstParagraph"/>
      </w:pPr>
      <w:r>
        <w:t xml:space="preserve">Primary goal: amateur DTN payload demonstrating ground-to-space messaging and orbital store-and-forward.</w:t>
      </w:r>
    </w:p>
    <w:p>
      <w:pPr>
        <w:pStyle w:val="Compact"/>
        <w:numPr>
          <w:ilvl w:val="0"/>
          <w:numId w:val="1001"/>
        </w:numPr>
      </w:pPr>
      <w:r>
        <w:t xml:space="preserve">STM32U585 microcontroller (160 MHz, 2 MB flash)</w:t>
      </w:r>
    </w:p>
    <w:p>
      <w:pPr>
        <w:pStyle w:val="Compact"/>
        <w:numPr>
          <w:ilvl w:val="0"/>
          <w:numId w:val="1001"/>
        </w:numPr>
      </w:pPr>
      <w:r>
        <w:t xml:space="preserve">437 MHz UHF at 9.6 kbps GMSK</w:t>
      </w:r>
    </w:p>
    <w:p>
      <w:pPr>
        <w:pStyle w:val="Compact"/>
        <w:numPr>
          <w:ilvl w:val="0"/>
          <w:numId w:val="1001"/>
        </w:numPr>
      </w:pPr>
      <w:r>
        <w:t xml:space="preserve">31 dB link budget margin with standard UHF Yagi</w:t>
      </w:r>
    </w:p>
    <w:p>
      <w:pPr>
        <w:pStyle w:val="Compact"/>
        <w:numPr>
          <w:ilvl w:val="0"/>
          <w:numId w:val="1001"/>
        </w:numPr>
      </w:pPr>
      <w:r>
        <w:t xml:space="preserve">64-256 MB persistent storage</w:t>
      </w:r>
    </w:p>
    <w:p>
      <w:pPr>
        <w:pStyle w:val="Compact"/>
        <w:numPr>
          <w:ilvl w:val="0"/>
          <w:numId w:val="1001"/>
        </w:numPr>
      </w:pPr>
      <w:r>
        <w:t xml:space="preserve">Compatible with existing amateur satellite equipment</w:t>
      </w:r>
    </w:p>
    <w:p>
      <w:pPr>
        <w:pStyle w:val="FirstParagraph"/>
      </w:pPr>
      <w:r>
        <w:t xml:space="preserve">Ground operations leverage distributed amateur satellite community through shared contact plans.</w:t>
      </w:r>
    </w:p>
    <w:bookmarkEnd w:id="12"/>
    <w:bookmarkStart w:id="13" w:name="cislunar-mission"/>
    <w:p>
      <w:pPr>
        <w:pStyle w:val="Heading2"/>
      </w:pPr>
      <w:r>
        <w:t xml:space="preserve">Cislunar Mission</w:t>
      </w:r>
    </w:p>
    <w:p>
      <w:pPr>
        <w:pStyle w:val="FirstParagraph"/>
      </w:pPr>
      <w:r>
        <w:t xml:space="preserve">Phase 4 extends DTN to cislunar space where Artemis and commercial lunar missions operate.</w:t>
      </w:r>
    </w:p>
    <w:p>
      <w:pPr>
        <w:pStyle w:val="Compact"/>
        <w:numPr>
          <w:ilvl w:val="0"/>
          <w:numId w:val="1002"/>
        </w:numPr>
      </w:pPr>
      <w:r>
        <w:t xml:space="preserve">S-band 2.2 GHz at 500 bps, 5W + 10 dBi spacecraft antenna</w:t>
      </w:r>
    </w:p>
    <w:p>
      <w:pPr>
        <w:pStyle w:val="Compact"/>
        <w:numPr>
          <w:ilvl w:val="0"/>
          <w:numId w:val="1002"/>
        </w:numPr>
      </w:pPr>
      <w:r>
        <w:t xml:space="preserve">35 dBi ground dish (3-5m, EME-class), 7 dB link margin</w:t>
      </w:r>
    </w:p>
    <w:p>
      <w:pPr>
        <w:pStyle w:val="Compact"/>
        <w:numPr>
          <w:ilvl w:val="0"/>
          <w:numId w:val="1002"/>
        </w:numPr>
      </w:pPr>
      <w:r>
        <w:t xml:space="preserve">2.6-second lunar round-trip delay handling</w:t>
      </w:r>
    </w:p>
    <w:p>
      <w:pPr>
        <w:pStyle w:val="FirstParagraph"/>
      </w:pPr>
      <w:r>
        <w:t xml:space="preserve">Success positions amateur radio as permanent interplanetary communications stakeholder.</w:t>
      </w:r>
    </w:p>
    <w:bookmarkEnd w:id="13"/>
    <w:bookmarkStart w:id="14" w:name="current-status"/>
    <w:p>
      <w:pPr>
        <w:pStyle w:val="Heading2"/>
      </w:pPr>
      <w:r>
        <w:t xml:space="preserve">Current Status</w:t>
      </w:r>
    </w:p>
    <w:p>
      <w:pPr>
        <w:pStyle w:val="FirstParagraph"/>
      </w:pPr>
      <w:r>
        <w:t xml:space="preserve">RADIANT operates three-node cislunar simulation with true 1.3-second Earth-Moon delays. Contact Graph Routing computes multi-hop paths while LTP manages extended round-trips. The project uses ION-DTN as the primary implementation, validating compatibility with the NASA standard DTN stack.</w:t>
      </w:r>
    </w:p>
    <w:p>
      <w:pPr>
        <w:pStyle w:val="BodyText"/>
      </w:pPr>
      <w:r>
        <w:t xml:space="preserve">Project gained visibility through EMF Camp 2026</w:t>
      </w:r>
      <w:r>
        <w:t xml:space="preserve"> </w:t>
      </w:r>
      <w:r>
        <w:t xml:space="preserve">“Internet for the Solar System”</w:t>
      </w:r>
      <w:r>
        <w:t xml:space="preserve"> </w:t>
      </w:r>
      <w:r>
        <w:t xml:space="preserve">presentation. All code open-source under MIT license.</w:t>
      </w:r>
    </w:p>
    <w:bookmarkEnd w:id="14"/>
    <w:bookmarkStart w:id="15" w:name="building-networks"/>
    <w:p>
      <w:pPr>
        <w:pStyle w:val="Heading2"/>
      </w:pPr>
      <w:r>
        <w:t xml:space="preserve">Building Networks</w:t>
      </w:r>
    </w:p>
    <w:p>
      <w:pPr>
        <w:pStyle w:val="FirstParagraph"/>
      </w:pPr>
      <w:r>
        <w:t xml:space="preserve">Long-term vision: robust DTN networks both terrestrial and cislunar. Terrestrial provides foundation while space-based relays extend coverage and emergency backup.</w:t>
      </w:r>
    </w:p>
    <w:p>
      <w:pPr>
        <w:pStyle w:val="BodyText"/>
      </w:pPr>
      <w:r>
        <w:t xml:space="preserve">We’re seeking amateur satellite operators and ground station collaborators internationally. University partnerships offer students space-grade networking experience while validating amateur radio’s technical contributions.</w:t>
      </w:r>
    </w:p>
    <w:p>
      <w:pPr>
        <w:pStyle w:val="BodyText"/>
      </w:pPr>
      <w:r>
        <w:t xml:space="preserve">Live demonstrations provide STEM outreach, inspiring space careers by showing amateur radio’s contribution to professional standards.</w:t>
      </w:r>
    </w:p>
    <w:bookmarkEnd w:id="15"/>
    <w:bookmarkStart w:id="16" w:name="get-involved"/>
    <w:p>
      <w:pPr>
        <w:pStyle w:val="Heading2"/>
      </w:pPr>
      <w:r>
        <w:t xml:space="preserve">Get Involved</w:t>
      </w:r>
    </w:p>
    <w:p>
      <w:pPr>
        <w:pStyle w:val="FirstParagraph"/>
      </w:pPr>
      <w:r>
        <w:rPr>
          <w:b/>
          <w:bCs/>
        </w:rPr>
        <w:t xml:space="preserve">Phase 1:</w:t>
      </w:r>
      <w:r>
        <w:t xml:space="preserve"> </w:t>
      </w:r>
      <w:r>
        <w:t xml:space="preserve">9600-baud packet stations</w:t>
      </w:r>
      <w:r>
        <w:br/>
      </w:r>
      <w:r>
        <w:rPr>
          <w:b/>
          <w:bCs/>
        </w:rPr>
        <w:t xml:space="preserve">Phase 2:</w:t>
      </w:r>
      <w:r>
        <w:t xml:space="preserve"> </w:t>
      </w:r>
      <w:r>
        <w:t xml:space="preserve">Standard QO-100 setups</w:t>
      </w:r>
      <w:r>
        <w:br/>
      </w:r>
      <w:r>
        <w:rPr>
          <w:b/>
          <w:bCs/>
        </w:rPr>
        <w:t xml:space="preserve">Phase 3/4:</w:t>
      </w:r>
      <w:r>
        <w:t xml:space="preserve"> </w:t>
      </w:r>
      <w:r>
        <w:t xml:space="preserve">UHF satellite operators, EME stations</w:t>
      </w:r>
    </w:p>
    <w:p>
      <w:pPr>
        <w:pStyle w:val="BodyText"/>
      </w:pPr>
      <w:r>
        <w:t xml:space="preserve">Software developers (Rust/Go/C++), microwave operators, amateur clubs, universities, and CubeSat teams welcome.</w:t>
      </w:r>
    </w:p>
    <w:p>
      <w:pPr>
        <w:pStyle w:val="BodyText"/>
      </w:pPr>
      <w:r>
        <w:t xml:space="preserve">Amateur radio pioneered packet radio and satellites before commercial adoption. RADIANT positions amateur radio at the interplanetary communications forefront using protocols that will connect future human settlements.</w:t>
      </w:r>
    </w:p>
    <w:p>
      <w:pPr>
        <w:pStyle w:val="BodyText"/>
      </w:pPr>
      <w:r>
        <w:rPr>
          <w:b/>
          <w:bCs/>
        </w:rPr>
        <w:t xml:space="preserve">Contact:</w:t>
      </w:r>
      <w:r>
        <w:t xml:space="preserve"> </w:t>
      </w:r>
      <w:r>
        <w:t xml:space="preserve">David Johnson, G4DPZ • dave@g4dpz.me.uk • https://radiant.amsat-uk.org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2026-09-02T20:37:20Z</dcterms:created>
  <dcterms:modified xsi:type="dcterms:W3CDTF">2026-09-02T20:37:20Z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