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0" w:after="0" w:line="201" w:lineRule="exact"/>
        <w:ind w:left="0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18"/>
          <w:shd w:val="clear" w:color="auto" w:fill="FFFFFF"/>
          <w:rtl w:val="0"/>
        </w:rPr>
        <w:t>1_EstructuraCodigo.md</w:t>
      </w:r>
      <w:r>
        <w:rPr>
          <w:rFonts w:ascii="Arial" w:eastAsia="Arial" w:hAnsi="Arial" w:cs="Arial"/>
          <w:color w:val="000000"/>
          <w:spacing w:val="7647"/>
          <w:sz w:val="18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color w:val="000000"/>
          <w:spacing w:val="0"/>
          <w:sz w:val="18"/>
          <w:shd w:val="clear" w:color="auto" w:fill="FFFFFF"/>
          <w:rtl w:val="0"/>
        </w:rPr>
        <w:t>1/21/2020</w:t>
      </w:r>
    </w:p>
    <w:p>
      <w:pPr>
        <w:bidi w:val="0"/>
        <w:spacing w:before="594" w:after="0" w:line="55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42"/>
          <w:shd w:val="clear" w:color="auto" w:fill="FFFFFF"/>
          <w:rtl w:val="0"/>
        </w:rPr>
        <w:t>Estructura del código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512pt;height:3pt;margin-top:61.09pt;margin-left:42pt;mso-position-horizontal-relative:page;position:absolute;z-index:-251658240">
            <v:imagedata r:id="rId4" o:title=""/>
            <w10:anchorlock/>
          </v:shape>
        </w:pict>
      </w:r>
    </w:p>
    <w:p>
      <w:pPr>
        <w:bidi w:val="0"/>
        <w:spacing w:before="767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using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System; </w:t>
      </w:r>
      <w:r>
        <w:pict>
          <v:shape id="_x0000_s1028" type="#_x0000_t75" style="width:514pt;height:168pt;margin-top:17.48pt;margin-left:41pt;mso-position-horizontal-relative:page;position:absolute;z-index:-251657216">
            <v:imagedata r:id="rId5" o:title=""/>
            <w10:anchorlock/>
          </v:shape>
        </w:pict>
      </w:r>
    </w:p>
    <w:p>
      <w:pPr>
        <w:bidi w:val="0"/>
        <w:spacing w:before="325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namespace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271AE"/>
          <w:spacing w:val="0"/>
          <w:sz w:val="21"/>
          <w:shd w:val="clear" w:color="auto" w:fill="FFFFFF"/>
          <w:rtl w:val="0"/>
        </w:rPr>
        <w:t>sintaxis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{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class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271AE"/>
          <w:spacing w:val="0"/>
          <w:sz w:val="21"/>
          <w:shd w:val="clear" w:color="auto" w:fill="FFFFFF"/>
          <w:rtl w:val="0"/>
        </w:rPr>
        <w:t>ejemplosSintaxis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{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static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void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271AE"/>
          <w:spacing w:val="0"/>
          <w:sz w:val="21"/>
          <w:shd w:val="clear" w:color="auto" w:fill="FFFFFF"/>
          <w:rtl w:val="0"/>
        </w:rPr>
        <w:t>Main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(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string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[] args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){ </w:t>
      </w:r>
    </w:p>
    <w:p>
      <w:pPr>
        <w:bidi w:val="0"/>
        <w:spacing w:before="286" w:after="0" w:line="285" w:lineRule="exact"/>
        <w:ind w:left="464" w:right="8570" w:firstLine="0"/>
        <w:jc w:val="left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}     } </w:t>
      </w:r>
    </w:p>
    <w:p>
      <w:pPr>
        <w:bidi w:val="0"/>
        <w:spacing w:before="39" w:after="607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} </w:t>
      </w:r>
    </w:p>
    <w:p>
      <w:pPr>
        <w:numPr>
          <w:ilvl w:val="0"/>
          <w:numId w:val="1"/>
        </w:numPr>
        <w:bidi w:val="0"/>
        <w:spacing w:before="210" w:after="0" w:line="279" w:lineRule="exact"/>
        <w:ind w:right="-200"/>
        <w:jc w:val="both"/>
      </w:pP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using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-&gt; Para importar librerías y módulos</w:t>
      </w:r>
    </w:p>
    <w:p>
      <w:pPr>
        <w:numPr>
          <w:ilvl w:val="0"/>
          <w:numId w:val="1"/>
        </w:numPr>
        <w:bidi w:val="0"/>
        <w:spacing w:before="210" w:after="0" w:line="330" w:lineRule="exact"/>
        <w:ind w:right="190"/>
        <w:jc w:val="left"/>
      </w:pP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namespace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-&gt; Como los package de Java, indican donde esta el programa o mas bien, la ruta donde esta la clase o clases dentro de las llaves</w:t>
      </w:r>
    </w:p>
    <w:p>
      <w:pPr>
        <w:numPr>
          <w:ilvl w:val="1"/>
          <w:numId w:val="1"/>
        </w:numPr>
        <w:bidi w:val="0"/>
        <w:spacing w:before="210" w:after="0" w:line="330" w:lineRule="exact"/>
        <w:ind w:right="-21"/>
        <w:jc w:val="left"/>
      </w:pP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class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-&gt; Creamos una clase, que es un modulo que se usa para declarar objetos y tratarlos añadiendo funciones.</w:t>
      </w:r>
    </w:p>
    <w:p>
      <w:pPr>
        <w:numPr>
          <w:ilvl w:val="0"/>
          <w:numId w:val="1"/>
        </w:numPr>
        <w:bidi w:val="0"/>
        <w:spacing w:before="210" w:after="0" w:line="330" w:lineRule="exact"/>
        <w:ind w:right="679"/>
        <w:jc w:val="left"/>
      </w:pP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main(string[] args)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-&gt; el método main es el método principal de donde parte la aplicación siempre, no puede haber dos main en el mismo proyecto</w:t>
      </w:r>
    </w:p>
    <w:p>
      <w:pPr>
        <w:bidi w:val="0"/>
        <w:spacing w:before="792" w:after="0" w:line="41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32"/>
          <w:shd w:val="clear" w:color="auto" w:fill="FFFFFF"/>
          <w:rtl w:val="0"/>
        </w:rPr>
        <w:t xml:space="preserve">Alias con </w:t>
      </w:r>
      <w:r>
        <w:rPr>
          <w:rFonts w:ascii="Consolas" w:eastAsia="Consolas" w:hAnsi="Consolas" w:cs="Consolas"/>
          <w:color w:val="C9AE75"/>
          <w:spacing w:val="0"/>
          <w:sz w:val="32"/>
          <w:shd w:val="clear" w:color="auto" w:fill="FFFFFF"/>
          <w:rtl w:val="0"/>
        </w:rPr>
        <w:t>using</w:t>
      </w:r>
    </w:p>
    <w:p>
      <w:pPr>
        <w:bidi w:val="0"/>
        <w:spacing w:before="250" w:after="0" w:line="279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Se puede crear un alias de la importación de using para clarificar mejor con un nombre el uso de las librerías</w:t>
      </w:r>
    </w:p>
    <w:p>
      <w:pPr>
        <w:numPr>
          <w:ilvl w:val="0"/>
          <w:numId w:val="2"/>
        </w:numPr>
        <w:bidi w:val="0"/>
        <w:spacing w:before="51" w:after="0" w:line="245" w:lineRule="exact"/>
        <w:ind w:right="-200"/>
        <w:jc w:val="both"/>
      </w:pP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namespace</w:t>
      </w:r>
    </w:p>
    <w:p>
      <w:pPr>
        <w:bidi w:val="0"/>
        <w:spacing w:before="262" w:after="0" w:line="279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El alias es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Texto</w:t>
      </w:r>
    </w:p>
    <w:p>
      <w:pPr>
        <w:bidi w:val="0"/>
        <w:spacing w:before="624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using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Texto = System.Text; </w:t>
      </w:r>
      <w:r>
        <w:pict>
          <v:shape id="_x0000_s1029" type="#_x0000_t75" style="width:514pt;height:54pt;margin-top:10.61pt;margin-left:41pt;mso-position-horizontal-relative:page;position:absolute;z-index:-251656192">
            <v:imagedata r:id="rId6" o:title=""/>
            <w10:anchorlock/>
          </v:shape>
        </w:pict>
      </w:r>
    </w:p>
    <w:p>
      <w:pPr>
        <w:bidi w:val="0"/>
        <w:spacing w:before="556" w:after="0" w:line="330" w:lineRule="exact"/>
        <w:ind w:left="104" w:right="215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Si queremos acceder al espacio de nombre del using con el alias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Texto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por ejemplo, deberemos de usar el operador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::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.</w:t>
      </w:r>
    </w:p>
    <w:p>
      <w:pPr>
        <w:bidi w:val="0"/>
        <w:spacing w:before="624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using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Texto = System.Text; </w:t>
      </w:r>
      <w:r>
        <w:pict>
          <v:shape id="_x0000_s1030" type="#_x0000_t75" style="width:514pt;height:68pt;margin-top:10.36pt;margin-left:41pt;mso-position-horizontal-relative:page;position:absolute;z-index:-251655168">
            <v:imagedata r:id="rId7" o:title=""/>
            <w10:anchorlock/>
          </v:shape>
        </w:pic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_ = Texto::Json.JsonTokenType.Comment; </w:t>
      </w:r>
    </w:p>
    <w:p>
      <w:pPr>
        <w:bidi w:val="0"/>
        <w:spacing w:before="556" w:after="0" w:line="330" w:lineRule="exact"/>
        <w:ind w:left="104" w:right="6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El operador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.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también se usa para tener acceso a los miembros de un tipo. El calificador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::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garantiza que el identificador de la izquierda siempre hace referencia a un alias de espacio de nombres, aunque exista un tipo</w:t>
      </w:r>
    </w:p>
    <w:p>
      <w:pPr>
        <w:numPr>
          <w:ilvl w:val="0"/>
          <w:numId w:val="3"/>
        </w:numPr>
        <w:bidi w:val="0"/>
        <w:spacing w:before="51" w:after="0" w:line="27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un espacio de nombres con el mismo nombre.</w:t>
      </w:r>
    </w:p>
    <w:p>
      <w:pPr>
        <w:bidi w:val="0"/>
        <w:spacing w:before="505" w:after="0" w:line="201" w:lineRule="exact"/>
        <w:ind w:left="5019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18"/>
          <w:shd w:val="clear" w:color="auto" w:fill="FFFFFF"/>
          <w:rtl w:val="0"/>
        </w:rPr>
        <w:t>1 / 1</w:t>
      </w:r>
    </w:p>
    <w:sectPr>
      <w:headerReference w:type="default" r:id="rId8"/>
      <w:footerReference w:type="default" r:id="rId9"/>
      <w:pgSz w:w="11899" w:h="16838"/>
      <w:pgMar w:top="297" w:right="755" w:bottom="300" w:left="756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596380" cy="3584989"/>
          <wp:wrapNone/>
          <wp:docPr id="10000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6380" cy="35849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s1025" type="#_x0000_t75" style="width:6pt;height:6.75pt" o:bullet="t">
        <v:imagedata r:id="rId1" o:title=""/>
      </v:shape>
    </w:pict>
  </w:numPicBullet>
  <w:numPicBullet w:numPicBulletId="1">
    <w:pict>
      <v:shape id="_x0000_s1026" type="#_x0000_t75" style="width:6pt;height:6pt" o:bullet="t">
        <v:imagedata r:id="rId2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bullet"/>
      <w:lvlText w:val=""/>
      <w:lvlPicBulletId w:val="0"/>
      <w:lvlJc w:val="left"/>
      <w:pPr>
        <w:tabs>
          <w:tab w:val="num" w:pos="704"/>
        </w:tabs>
        <w:ind w:left="704" w:hanging="280"/>
      </w:pPr>
      <w:rPr>
        <w:rFonts w:ascii="Symbol" w:eastAsia="Symbol" w:hAnsi="Symbol" w:cs="Symbol"/>
        <w:sz w:val="16"/>
      </w:rPr>
    </w:lvl>
    <w:lvl w:ilvl="1">
      <w:start w:val="1"/>
      <w:numFmt w:val="bullet"/>
      <w:lvlText w:val=""/>
      <w:lvlPicBulletId w:val="1"/>
      <w:lvlJc w:val="left"/>
      <w:pPr>
        <w:tabs>
          <w:tab w:val="num" w:pos="704"/>
        </w:tabs>
        <w:ind w:left="704" w:hanging="280"/>
      </w:pPr>
      <w:rPr>
        <w:rFonts w:ascii="Symbol" w:eastAsia="Symbol" w:hAnsi="Symbol" w:cs="Symbol"/>
        <w:sz w:val="16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o"/>
      <w:lvlJc w:val="left"/>
      <w:pPr>
        <w:tabs>
          <w:tab w:val="num" w:pos="285"/>
        </w:tabs>
        <w:ind w:left="285" w:hanging="181"/>
      </w:pPr>
      <w:rPr>
        <w:rFonts w:ascii="Segoe UI" w:eastAsia="Segoe UI" w:hAnsi="Segoe UI" w:cs="Segoe UI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o"/>
      <w:lvlJc w:val="left"/>
      <w:pPr>
        <w:tabs>
          <w:tab w:val="num" w:pos="285"/>
        </w:tabs>
        <w:ind w:left="285" w:hanging="181"/>
      </w:pPr>
      <w:rPr>
        <w:rFonts w:ascii="Segoe UI" w:eastAsia="Segoe UI" w:hAnsi="Segoe UI" w:cs="Segoe UI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6.png" /><Relationship Id="rId2" Type="http://schemas.openxmlformats.org/officeDocument/2006/relationships/image" Target="media/image7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