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2_SeguridadNet.md</w:t>
      </w:r>
      <w:r>
        <w:rPr>
          <w:rFonts w:ascii="Arial" w:eastAsia="Arial" w:hAnsi="Arial" w:cs="Arial"/>
          <w:color w:val="000000"/>
          <w:spacing w:val="7937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</w:p>
    <w:p>
      <w:pPr>
        <w:bidi w:val="0"/>
        <w:spacing w:before="59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Seguridad en .NET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512pt;height:3pt;margin-top:61.09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353" w:after="0" w:line="330" w:lineRule="exact"/>
        <w:ind w:left="104" w:right="-81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El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CLR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 xml:space="preserve">y </w:t>
      </w:r>
      <w:r>
        <w:rPr>
          <w:rFonts w:ascii="Consolas" w:eastAsia="Consolas" w:hAnsi="Consolas" w:cs="Consolas"/>
          <w:color w:val="C9AE75"/>
          <w:spacing w:val="0"/>
          <w:sz w:val="21"/>
          <w:shd w:val="clear" w:color="auto" w:fill="FFFFFF"/>
          <w:rtl w:val="0"/>
        </w:rPr>
        <w:t>.NET</w:t>
      </w:r>
      <w:r>
        <w:rPr>
          <w:rFonts w:ascii="Segoe UI" w:eastAsia="Segoe UI" w:hAnsi="Segoe UI" w:cs="Segoe UI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proporcionan muchas clases y servicios útiles que permiten a los desarrolladores escribir código seguro fácilmente y permiten a los administradores del sistema personalizar los permisos concedidos al código, por lo que puede tener acceso a recursos protegidos. Además, el tiempo de ejecución y .NET proporcionan clases y servicios que facilitan el uso de criptografía y seguridad basada en funciones útiles.</w:t>
      </w:r>
    </w:p>
    <w:p>
      <w:pPr>
        <w:bidi w:val="0"/>
        <w:spacing w:before="792" w:after="0" w:line="41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32"/>
          <w:shd w:val="clear" w:color="auto" w:fill="FFFFFF"/>
          <w:rtl w:val="0"/>
        </w:rPr>
        <w:t>Guia de seguridad de Microsoft</w:t>
      </w:r>
    </w:p>
    <w:p>
      <w:pPr>
        <w:bidi w:val="0"/>
        <w:spacing w:before="235" w:after="0" w:line="279" w:lineRule="exact"/>
        <w:ind w:left="104" w:right="-200" w:firstLine="0"/>
        <w:jc w:val="both"/>
      </w:pPr>
      <w:hyperlink r:id="rId5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Conceptos clave de seguridad</w:t>
        </w:r>
      </w:hyperlink>
    </w:p>
    <w:p>
      <w:pPr>
        <w:numPr>
          <w:ilvl w:val="0"/>
          <w:numId w:val="1"/>
        </w:numPr>
        <w:bidi w:val="0"/>
        <w:spacing w:before="210" w:after="0" w:line="330" w:lineRule="exact"/>
        <w:ind w:right="178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Proporciona información general de las características de seguridad de Common Language Runtime. Esta sección está dirigida a desarrolladores y administradores de sistemas.</w:t>
      </w:r>
    </w:p>
    <w:p>
      <w:pPr>
        <w:bidi w:val="0"/>
        <w:spacing w:before="261" w:after="0" w:line="279" w:lineRule="exact"/>
        <w:ind w:left="104" w:right="-200" w:firstLine="0"/>
        <w:jc w:val="both"/>
      </w:pPr>
      <w:hyperlink r:id="rId6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Seguridad basada en roles</w:t>
        </w:r>
      </w:hyperlink>
    </w:p>
    <w:p>
      <w:pPr>
        <w:numPr>
          <w:ilvl w:val="0"/>
          <w:numId w:val="2"/>
        </w:numPr>
        <w:bidi w:val="0"/>
        <w:spacing w:before="210" w:after="0" w:line="330" w:lineRule="exact"/>
        <w:ind w:right="257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Describe cómo interactuar en su código con la seguridad basada en roles. Esta sección es de interés para desarrolladores.</w:t>
      </w:r>
    </w:p>
    <w:p>
      <w:pPr>
        <w:bidi w:val="0"/>
        <w:spacing w:before="261" w:after="0" w:line="279" w:lineRule="exact"/>
        <w:ind w:left="104" w:right="-200" w:firstLine="0"/>
        <w:jc w:val="both"/>
      </w:pPr>
      <w:hyperlink r:id="rId7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Modelo de criptografía</w:t>
        </w:r>
      </w:hyperlink>
    </w:p>
    <w:p>
      <w:pPr>
        <w:numPr>
          <w:ilvl w:val="0"/>
          <w:numId w:val="3"/>
        </w:numPr>
        <w:bidi w:val="0"/>
        <w:spacing w:before="210" w:after="0" w:line="330" w:lineRule="exact"/>
        <w:ind w:right="122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Proporciona información general de servicios criptográficos proporcionados por. NET. Esta sección es de interés para desarrolladores.</w:t>
      </w:r>
    </w:p>
    <w:p>
      <w:pPr>
        <w:bidi w:val="0"/>
        <w:spacing w:before="261" w:after="0" w:line="279" w:lineRule="exact"/>
        <w:ind w:left="104" w:right="-200" w:firstLine="0"/>
        <w:jc w:val="both"/>
      </w:pPr>
      <w:hyperlink r:id="rId8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Instrucciones de codificación segura</w:t>
        </w:r>
      </w:hyperlink>
    </w:p>
    <w:p>
      <w:pPr>
        <w:numPr>
          <w:ilvl w:val="0"/>
          <w:numId w:val="4"/>
        </w:numPr>
        <w:bidi w:val="0"/>
        <w:spacing w:before="210" w:after="0" w:line="330" w:lineRule="exact"/>
        <w:ind w:right="232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Describe algunos de los procedimientos recomendados para crear aplicaciones confiables. NET. Esta sección es de interés para desarrolladores.</w:t>
      </w:r>
    </w:p>
    <w:p>
      <w:pPr>
        <w:bidi w:val="0"/>
        <w:spacing w:before="261" w:after="0" w:line="279" w:lineRule="exact"/>
        <w:ind w:left="104" w:right="-200" w:firstLine="0"/>
        <w:jc w:val="both"/>
      </w:pPr>
      <w:hyperlink r:id="rId9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Instrucciones de programación segura para código sin administrar</w:t>
        </w:r>
      </w:hyperlink>
    </w:p>
    <w:p>
      <w:pPr>
        <w:numPr>
          <w:ilvl w:val="0"/>
          <w:numId w:val="5"/>
        </w:numPr>
        <w:bidi w:val="0"/>
        <w:spacing w:before="210" w:after="0" w:line="330" w:lineRule="exact"/>
        <w:ind w:right="553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Describe algunas de las prácticas recomendadas y problemas de seguridad al llamar a código no administrado.</w:t>
      </w:r>
    </w:p>
    <w:p>
      <w:pPr>
        <w:bidi w:val="0"/>
        <w:spacing w:before="261" w:after="0" w:line="279" w:lineRule="exact"/>
        <w:ind w:left="104" w:right="-200" w:firstLine="0"/>
        <w:jc w:val="both"/>
      </w:pPr>
      <w:hyperlink r:id="rId10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Windows Identity Foundation</w:t>
        </w:r>
      </w:hyperlink>
    </w:p>
    <w:p>
      <w:pPr>
        <w:numPr>
          <w:ilvl w:val="0"/>
          <w:numId w:val="6"/>
        </w:numPr>
        <w:bidi w:val="0"/>
        <w:spacing w:before="261" w:after="0" w:line="27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Describe cómo implementar la identidad basada en notificaciones en sus aplicaciones.</w:t>
      </w:r>
    </w:p>
    <w:p>
      <w:pPr>
        <w:bidi w:val="0"/>
        <w:spacing w:before="261" w:after="0" w:line="279" w:lineRule="exact"/>
        <w:ind w:left="104" w:right="-200" w:firstLine="0"/>
        <w:jc w:val="both"/>
      </w:pPr>
      <w:hyperlink r:id="rId11" w:history="1">
        <w:r>
          <w:rPr>
            <w:rFonts w:ascii="Segoe UI" w:eastAsia="Segoe UI" w:hAnsi="Segoe UI" w:cs="Segoe UI"/>
            <w:color w:val="4080D0"/>
            <w:spacing w:val="0"/>
            <w:sz w:val="21"/>
            <w:shd w:val="clear" w:color="auto" w:fill="FFFFFF"/>
            <w:rtl w:val="0"/>
          </w:rPr>
          <w:t>Cambios de seguridad</w:t>
        </w:r>
      </w:hyperlink>
    </w:p>
    <w:p>
      <w:pPr>
        <w:numPr>
          <w:ilvl w:val="0"/>
          <w:numId w:val="7"/>
        </w:numPr>
        <w:bidi w:val="0"/>
        <w:spacing w:before="261" w:after="0" w:line="279" w:lineRule="exact"/>
        <w:ind w:right="-200"/>
        <w:jc w:val="both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Cambios importantes en el sistema de seguridad de .NET Framework.</w:t>
      </w:r>
    </w:p>
    <w:p>
      <w:pPr>
        <w:bidi w:val="0"/>
        <w:spacing w:before="2620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 / 1</w:t>
      </w:r>
    </w:p>
    <w:sectPr>
      <w:headerReference w:type="default" r:id="rId12"/>
      <w:footerReference w:type="default" r:id="rId13"/>
      <w:pgSz w:w="11899" w:h="16838"/>
      <w:pgMar w:top="297" w:right="755" w:bottom="300" w:left="75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09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1025" type="#_x0000_t75" style="width:6pt;height:6.75pt" o:bullet="t">
        <v:imagedata r:id="rId1" o:title=""/>
      </v:shape>
    </w:pict>
  </w:numPicBullet>
  <w:numPicBullet w:numPicBulletId="1">
    <w:pict>
      <v:shape id="_x0000_s1026" type="#_x0000_t75" style="width:6pt;height:6pt" o:bullet="t">
        <v:imagedata r:id="rId2" o:title=""/>
      </v:shape>
    </w:pict>
  </w:numPicBullet>
  <w:numPicBullet w:numPicBulletId="2">
    <w:pict>
      <v:shape id="_x0000_s1027" type="#_x0000_t75" style="width:6pt;height:6.75pt" o:bullet="t">
        <v:imagedata r:id="rId1" o:title=""/>
      </v:shape>
    </w:pict>
  </w:numPicBullet>
  <w:numPicBullet w:numPicBulletId="3">
    <w:pict>
      <v:shape id="_x0000_s1028" type="#_x0000_t75" style="width:6pt;height:6pt" o:bullet="t">
        <v:imagedata r:id="rId2" o:title=""/>
      </v:shape>
    </w:pict>
  </w:numPicBullet>
  <w:numPicBullet w:numPicBulletId="4">
    <w:pict>
      <v:shape id="_x0000_s1029" type="#_x0000_t75" style="width:6pt;height:6.75pt" o:bullet="t">
        <v:imagedata r:id="rId1" o:title=""/>
      </v:shape>
    </w:pict>
  </w:numPicBullet>
  <w:numPicBullet w:numPicBulletId="5">
    <w:pict>
      <v:shape id="_x0000_s1030" type="#_x0000_t75" style="width:6pt;height:6pt" o:bullet="t">
        <v:imagedata r:id="rId2" o:title=""/>
      </v:shape>
    </w:pict>
  </w:numPicBullet>
  <w:numPicBullet w:numPicBulletId="6">
    <w:pict>
      <v:shape id="_x0000_s1031" type="#_x0000_t75" style="width:6pt;height:6pt" o:bullet="t">
        <v:imagedata r:id="rId2" o:title=""/>
      </v:shape>
    </w:pict>
  </w:numPicBullet>
  <w:abstractNum w:abstractNumId="0">
    <w:nsid w:val="00000001"/>
    <w:multiLevelType w:val="multilevel"/>
    <w:tmpl w:val="00000001"/>
    <w:lvl w:ilvl="0">
      <w:start w:val="1"/>
      <w:numFmt w:val="bullet"/>
      <w:lvlText w:val=""/>
      <w:lvlPicBulletId w:val="0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PicBulletId w:val="1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PicBulletId w:val="2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PicBulletId w:val="3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PicBulletId w:val="4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PicBulletId w:val="5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PicBulletId w:val="6"/>
      <w:lvlJc w:val="left"/>
      <w:pPr>
        <w:tabs>
          <w:tab w:val="num" w:pos="704"/>
        </w:tabs>
        <w:ind w:left="704" w:hanging="280"/>
      </w:pPr>
      <w:rPr>
        <w:rFonts w:ascii="Symbol" w:eastAsia="Symbol" w:hAnsi="Symbol" w:cs="Symbol"/>
        <w:sz w:val="16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docs.microsoft.com/es-es/dotnet/framework/security/index" TargetMode="External" /><Relationship Id="rId11" Type="http://schemas.openxmlformats.org/officeDocument/2006/relationships/hyperlink" Target="https://docs.microsoft.com/es-es/dotnet/framework/security/security-changes" TargetMode="External" /><Relationship Id="rId12" Type="http://schemas.openxmlformats.org/officeDocument/2006/relationships/header" Target="header1.xml" /><Relationship Id="rId13" Type="http://schemas.openxmlformats.org/officeDocument/2006/relationships/footer" Target="footer1.xm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s://docs.microsoft.com/es-es/dotnet/standard/security/key-security-concepts" TargetMode="External" /><Relationship Id="rId6" Type="http://schemas.openxmlformats.org/officeDocument/2006/relationships/hyperlink" Target="https://docs.microsoft.com/es-es/dotnet/standard/security/role-based-security" TargetMode="External" /><Relationship Id="rId7" Type="http://schemas.openxmlformats.org/officeDocument/2006/relationships/hyperlink" Target="https://docs.microsoft.com/es-es/dotnet/standard/security/cryptography-model" TargetMode="External" /><Relationship Id="rId8" Type="http://schemas.openxmlformats.org/officeDocument/2006/relationships/hyperlink" Target="https://docs.microsoft.com/es-es/dotnet/standard/security/secure-coding-guidelines" TargetMode="External" /><Relationship Id="rId9" Type="http://schemas.openxmlformats.org/officeDocument/2006/relationships/hyperlink" Target="https://docs.microsoft.com/es-es/dotnet/framework/security/secure-coding-guidelines-for-unmanaged-code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3.png" /><Relationship Id="rId2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