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0"/>
        <w:tblpPr w:leftFromText="45" w:rightFromText="45" w:vertAnchor="text" w:tblpXSpec="right" w:tblpYSpec="center"/>
        <w:tblW w:w="0" w:type="auto"/>
        <w:tblCellSpacing w:w="15" w:type="dxa"/>
        <w:tblInd w:w="0" w:type="dxa"/>
        <w:tblLayout w:type="autofit"/>
        <w:tblCellMar>
          <w:top w:w="15" w:type="dxa"/>
          <w:left w:w="15" w:type="dxa"/>
          <w:bottom w:w="15" w:type="dxa"/>
          <w:right w:w="15" w:type="dxa"/>
        </w:tblCellMar>
      </w:tblPr>
      <w:tblGrid>
        <w:gridCol w:w="96"/>
      </w:tblGrid>
      <w:tr>
        <w:trPr>
          <w:wBefore w:w="0" w:type="auto"/>
          <w:tblCellSpacing w:w="15" w:type="dxa"/>
        </w:trPr>
        <w:tc>
          <w:tcPr>
            <w:tcW w:w="0" w:type="auto"/>
            <w:noWrap w:val="0"/>
            <w:vAlign w:val="center"/>
          </w:tcPr>
          <w:p>
            <w:pPr>
              <w:spacing w:line="360" w:lineRule="auto"/>
              <w:ind w:left="480" w:leftChars="0"/>
              <w:jc w:val="center"/>
              <w:rPr>
                <w:rFonts w:ascii="宋体" w:hAnsi="宋体" w:cs="宋体"/>
                <w:color w:val="666666"/>
                <w:lang w:eastAsia="zh-CN" w:bidi="ar-SA"/>
              </w:rPr>
            </w:pPr>
          </w:p>
        </w:tc>
      </w:tr>
    </w:tbl>
    <w:p>
      <w:pPr>
        <w:spacing w:line="360" w:lineRule="auto"/>
        <w:ind w:left="0" w:leftChars="0"/>
        <w:jc w:val="center"/>
        <w:rPr>
          <w:rFonts w:ascii="宋体" w:hAnsi="宋体" w:cs="宋体"/>
          <w:b/>
          <w:color w:val="333333"/>
          <w:sz w:val="32"/>
          <w:szCs w:val="32"/>
          <w:lang w:eastAsia="zh-CN" w:bidi="ar-SA"/>
        </w:rPr>
      </w:pPr>
      <w:r>
        <w:rPr>
          <w:rFonts w:ascii="宋体" w:hAnsi="宋体" w:cs="宋体"/>
          <w:b/>
          <w:color w:val="333333"/>
          <w:sz w:val="32"/>
          <w:szCs w:val="32"/>
          <w:lang w:eastAsia="zh-CN" w:bidi="ar-SA"/>
        </w:rPr>
        <w:t>正规接房流程</w:t>
      </w:r>
    </w:p>
    <w:p>
      <w:pPr>
        <w:spacing w:line="520" w:lineRule="exact"/>
        <w:ind w:left="0" w:leftChars="0" w:firstLine="560" w:firstLineChars="200"/>
        <w:jc w:val="left"/>
        <w:rPr>
          <w:rFonts w:hint="eastAsia" w:ascii="宋体" w:hAnsi="宋体" w:cs="宋体"/>
          <w:color w:val="50576B"/>
          <w:sz w:val="28"/>
          <w:szCs w:val="28"/>
          <w:lang w:eastAsia="zh-CN" w:bidi="ar-SA"/>
        </w:rPr>
      </w:pP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1、审查开发商必须提供的材料：</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业主前往收房时，开发商首先需要向业主正式宣布房子已经完工,并具备合同约定的各项交付条件。而如何判定项目是否符合交付条件呢？一般来讲，业主现场收房时,开发商要出具以下证明</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一、是《建筑工程竣工备案表》。为规范工程竣工验收备案管理工作，建设部制定了《房屋建筑工程和市政基础设施工程竣工验收备案表》，它通常包括以下内容：工程的基本情况；勘察、设计、施工、监理单位意见；包括工程竣工验收报告等文件在内的竣工验收备案文件清单等。《竣工验收备案表》是目前收房环节中最应该注意的文件。按照有关规定，表上的每一项都必须报有关主管部门备案，缺少任何一项的话，这个楼盘就是“黑楼”，是不能入住的。</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二、是通常说的“两书”,即《住宅质量保证书》和《住宅使用说明书》。我国房地产法规规定，房地产开发企业应当在商品房交付使用时向购买人提供《住宅质量保证书》和《住宅使用说明书》。《住宅质量保证书》是房地产开发企业对所售商品房承担质量责任的法律文件，其中应当列明工程质量监督单位核验的质量等级、保修范围、保修期和保修单位等内容。开发商应当按《住宅质量保证书》的约定，承担保修责任。《住宅使用说明书》应当对住宅的结构、性能和各部位 部件 的类型、性能、标准等作出说明，并提出使用注意事项，如装修、装饰注意事项；门、窗类型，使用注意事项等。</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三、是开发商要向业主出示已取得国家认可的专业测绘单位对住房面积的实测数据和公摊面积报告,以及预售合同约定的其他交付条件，看是否与购房合同中约定的有出入,以便尽早使问题获得解决。如果开发商不能提供以上这些文件,业主可以拒绝收房。</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2、对所买房屋进行综合验收：</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查验相关材料之后，业主可对房屋做综合验收，具体内容主要包括 检查所交付的房屋是不是您所购买的房屋,其结构设计是否和原图相符;房屋面积是否经过房地产部门实际测量，与合同签订面积是否有差异；检查房屋质量，包括墙壁、门窗、阳台等部位有无开裂现象；核对买卖合同上注明的设施、设备等是否有遗漏、品牌、数量是否相符；检查墙体平整度，是否渗水、是否有裂缝（特别是查看一些墙体是否有水迹，特别是一些山墙、厨房卫生顶面、外墙等地方，如有的话，务必尽快查明原因）；仔细检查地面有无空壳开裂情况（如有空鼓，一定要责成陪同物业人员尽快修复，否则在装修中会很容易打穿楼板，妨碍邻里关系）；水电煤畅通情况和能否正常使用；打开龙头查漏堵，尽可能让水流大一点、急一点，一来看看水压，二来试试排水速度；用万用表测量各个强弱电是否畅通。可关闭分闸，检查各个分闸是否完全控制各分支线路；验收下水情况（先用面盆盛水，再向各个下水处灌水，分别是台盆下水、浴缸下水、马桶下水、厨房和卫生及阳台地漏等，基本是每个下水口应灌入两盆水左右，应听到咕噜噜的声音和表面无积水）。</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在验收过程中,对发现的问题要在验楼单上详细注明,并同物业人员确定解决方案和解决日期，如果确实不能当时收房的,要详细写明不能收房的原因并要求开发商签字盖章,以明确责任。</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如果没有问题，业主就可以签署《入住交接单》，领取自己的房屋钥匙了。收房结束之后，业主可以在开发商的协助下，到房地产管理部门和土地管理部门办理“两证”。</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3、如何处理可能遇到的纠纷：</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退房：验收过程中，业主如果发现购买的商品房存在质量问题，是不是都可以退房呢？按照《商品房销售管理办法》的规定，只有以下四种情况可以退房：一是套型与设计图纸不一致；二是开发商擅自变更规划设计；三是面积误差绝对值超过3%；四是商品房确属主体结构不合格。只要具备上述条件之一，业主就有权利提出退房。如果开发商不同意，购房人可向有管辖权的人民法院起诉；如果不具备上述条件，但是房屋确实出现了质量问题，业主有权要求开发商进行维修，因此造成损失的由开发商赔偿。</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面积误差：根据有关规定，买卖双方因设计变更造成的实测房屋套内面积或建筑面积（含公摊面积）与房屋买卖合同约定面积不符的，按照合同约定处理。合同没有约定或者约定不明确的，按照以下原则处理：（一）面积误差比绝对值在3％以内（含3％），按照合同约定的价格据实结算房款；（二）面积误差比绝对值超出3％，购房人可要求退房。开发商应在买房人提出退房之日起30日内退还已交房款，并支付已付房款利息。如购房人同意继续履行合同，房屋实际面积大于合同约定面积的，面积误差比在3％以内（含3％）部分的房价款由购房人按照约定的价格补足，面积误差比超出3％部分的房价款由开发商承担，所有权归买受人；房屋实际面积小于合同约定面积的，面积在3％以内（含3％）部分的房价款及利息由开发商返还购房者，面积误差绝对值超过3％部分的房价款由开发商双倍返还买受人。</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目前,一些小区开始组织业主进行集体收房。业内人士提醒,业主集体收房有利于形成合力,但业主间要有合法的委托手续。另外,开发商应做好一切事后的投诉处理机制,比如配备一支独立于物业管理公司之外的返修队伍,对有质量问题的房屋进行专门的返修工作等,避免激起更大的矛盾。</w:t>
      </w:r>
    </w:p>
    <w:p>
      <w:pPr>
        <w:spacing w:line="520" w:lineRule="exact"/>
        <w:ind w:left="0" w:leftChars="0" w:firstLine="560" w:firstLineChars="200"/>
        <w:jc w:val="left"/>
        <w:rPr>
          <w:rFonts w:hint="eastAsia" w:ascii="宋体" w:hAnsi="宋体" w:cs="宋体"/>
          <w:color w:val="50576B"/>
          <w:sz w:val="28"/>
          <w:szCs w:val="28"/>
          <w:lang w:eastAsia="zh-CN" w:bidi="ar-SA"/>
        </w:rPr>
      </w:pPr>
      <w:r>
        <w:rPr>
          <w:rFonts w:ascii="宋体" w:hAnsi="宋体" w:cs="宋体"/>
          <w:color w:val="50576B"/>
          <w:sz w:val="28"/>
          <w:szCs w:val="28"/>
          <w:lang w:eastAsia="zh-CN" w:bidi="ar-SA"/>
        </w:rPr>
        <w:t>4、最佳收房流程</w:t>
      </w:r>
      <w:bookmarkStart w:id="0" w:name="_GoBack"/>
      <w:bookmarkEnd w:id="0"/>
    </w:p>
    <w:p>
      <w:pPr>
        <w:spacing w:line="520" w:lineRule="exact"/>
        <w:ind w:left="0" w:leftChars="0" w:firstLine="560" w:firstLineChars="200"/>
        <w:jc w:val="left"/>
        <w:rPr>
          <w:rFonts w:ascii="宋体" w:hAnsi="宋体" w:cs="宋体"/>
          <w:color w:val="50576B"/>
          <w:sz w:val="28"/>
          <w:szCs w:val="28"/>
          <w:lang w:eastAsia="zh-CN" w:bidi="ar-SA"/>
        </w:rPr>
      </w:pPr>
      <w:r>
        <w:rPr>
          <w:rFonts w:ascii="宋体" w:hAnsi="宋体" w:cs="宋体"/>
          <w:color w:val="50576B"/>
          <w:sz w:val="28"/>
          <w:szCs w:val="28"/>
          <w:lang w:eastAsia="zh-CN" w:bidi="ar-SA"/>
        </w:rPr>
        <w:t>核验业主材料</w:t>
      </w:r>
      <w:r>
        <w:rPr>
          <w:rFonts w:hint="eastAsia" w:ascii="宋体" w:hAnsi="宋体" w:cs="宋体"/>
          <w:color w:val="50576B"/>
          <w:sz w:val="28"/>
          <w:szCs w:val="28"/>
          <w:lang w:eastAsia="zh-CN" w:bidi="ar-SA"/>
        </w:rPr>
        <w:t>→</w:t>
      </w:r>
      <w:r>
        <w:rPr>
          <w:rFonts w:ascii="宋体" w:hAnsi="宋体" w:cs="宋体"/>
          <w:color w:val="50576B"/>
          <w:sz w:val="28"/>
          <w:szCs w:val="28"/>
          <w:lang w:eastAsia="zh-CN" w:bidi="ar-SA"/>
        </w:rPr>
        <w:t>业主领取《竣工验收备案表》、《房屋土地测绘技术报告书》、《住宅质量保证书》和《住宅使用说明书》并由开发商加以说明</w:t>
      </w:r>
      <w:r>
        <w:rPr>
          <w:rFonts w:hint="eastAsia" w:ascii="宋体" w:hAnsi="宋体" w:cs="宋体"/>
          <w:color w:val="50576B"/>
          <w:sz w:val="28"/>
          <w:szCs w:val="28"/>
          <w:lang w:eastAsia="zh-CN" w:bidi="ar-SA"/>
        </w:rPr>
        <w:t>→</w:t>
      </w:r>
      <w:r>
        <w:rPr>
          <w:rFonts w:ascii="宋体" w:hAnsi="宋体" w:cs="宋体"/>
          <w:color w:val="50576B"/>
          <w:sz w:val="28"/>
          <w:szCs w:val="28"/>
          <w:lang w:eastAsia="zh-CN" w:bidi="ar-SA"/>
        </w:rPr>
        <w:t>业主领取钥匙并签署《住宅钥匙收到书》</w:t>
      </w:r>
      <w:r>
        <w:rPr>
          <w:rFonts w:hint="eastAsia" w:ascii="宋体" w:hAnsi="宋体" w:cs="宋体"/>
          <w:color w:val="50576B"/>
          <w:sz w:val="28"/>
          <w:szCs w:val="28"/>
          <w:lang w:eastAsia="zh-CN" w:bidi="ar-SA"/>
        </w:rPr>
        <w:t>→</w:t>
      </w:r>
      <w:r>
        <w:rPr>
          <w:rFonts w:ascii="宋体" w:hAnsi="宋体" w:cs="宋体"/>
          <w:color w:val="50576B"/>
          <w:sz w:val="28"/>
          <w:szCs w:val="28"/>
          <w:lang w:eastAsia="zh-CN" w:bidi="ar-SA"/>
        </w:rPr>
        <w:t>业主做综合验收</w:t>
      </w:r>
      <w:r>
        <w:rPr>
          <w:rFonts w:hint="eastAsia" w:ascii="宋体" w:hAnsi="宋体" w:cs="宋体"/>
          <w:color w:val="50576B"/>
          <w:sz w:val="28"/>
          <w:szCs w:val="28"/>
          <w:lang w:eastAsia="zh-CN" w:bidi="ar-SA"/>
        </w:rPr>
        <w:t>→</w:t>
      </w:r>
      <w:r>
        <w:rPr>
          <w:rFonts w:ascii="宋体" w:hAnsi="宋体" w:cs="宋体"/>
          <w:color w:val="50576B"/>
          <w:sz w:val="28"/>
          <w:szCs w:val="28"/>
          <w:lang w:eastAsia="zh-CN" w:bidi="ar-SA"/>
        </w:rPr>
        <w:t>业主就验收中存在的问题提出质询、改进意见或解决方案</w:t>
      </w:r>
      <w:r>
        <w:rPr>
          <w:rFonts w:hint="eastAsia" w:ascii="宋体" w:hAnsi="宋体" w:cs="宋体"/>
          <w:color w:val="50576B"/>
          <w:sz w:val="28"/>
          <w:szCs w:val="28"/>
          <w:lang w:eastAsia="zh-CN" w:bidi="ar-SA"/>
        </w:rPr>
        <w:t>→</w:t>
      </w:r>
      <w:r>
        <w:rPr>
          <w:rFonts w:ascii="宋体" w:hAnsi="宋体" w:cs="宋体"/>
          <w:color w:val="50576B"/>
          <w:sz w:val="28"/>
          <w:szCs w:val="28"/>
          <w:lang w:eastAsia="zh-CN" w:bidi="ar-SA"/>
        </w:rPr>
        <w:t>开发商与业主协商并达成书面协议</w:t>
      </w:r>
      <w:r>
        <w:rPr>
          <w:rFonts w:hint="eastAsia" w:ascii="宋体" w:hAnsi="宋体" w:cs="宋体"/>
          <w:color w:val="50576B"/>
          <w:sz w:val="28"/>
          <w:szCs w:val="28"/>
          <w:lang w:eastAsia="zh-CN" w:bidi="ar-SA"/>
        </w:rPr>
        <w:t>→</w:t>
      </w:r>
      <w:r>
        <w:rPr>
          <w:rFonts w:ascii="宋体" w:hAnsi="宋体" w:cs="宋体"/>
          <w:color w:val="50576B"/>
          <w:sz w:val="28"/>
          <w:szCs w:val="28"/>
          <w:lang w:eastAsia="zh-CN" w:bidi="ar-SA"/>
        </w:rPr>
        <w:t>业主签署《入住交接单》。</w:t>
      </w: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30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480"/>
      <w:jc w:val="center"/>
      <w:rPr>
        <w:rFonts w:hint="eastAsia"/>
        <w:sz w:val="21"/>
        <w:szCs w:val="21"/>
        <w:lang w:eastAsia="zh-CN"/>
      </w:rP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1</w:t>
    </w:r>
    <w:r>
      <w:rPr>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A94"/>
    <w:rsid w:val="000A6A94"/>
    <w:rsid w:val="001C0500"/>
    <w:rsid w:val="001D219E"/>
    <w:rsid w:val="00247030"/>
    <w:rsid w:val="003D2817"/>
    <w:rsid w:val="00525A5A"/>
    <w:rsid w:val="0060467B"/>
    <w:rsid w:val="006C7F9D"/>
    <w:rsid w:val="007565BE"/>
    <w:rsid w:val="00890076"/>
    <w:rsid w:val="00984658"/>
    <w:rsid w:val="009F01EC"/>
    <w:rsid w:val="00B57B16"/>
    <w:rsid w:val="00C4375C"/>
    <w:rsid w:val="00D36629"/>
    <w:rsid w:val="00D540CF"/>
    <w:rsid w:val="00D622E5"/>
    <w:rsid w:val="00EC3A8B"/>
    <w:rsid w:val="00F038CD"/>
    <w:rsid w:val="00F42A44"/>
    <w:rsid w:val="00F4472D"/>
    <w:rsid w:val="37AF4CD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
    <w:lsdException w:qFormat="1" w:unhideWhenUsed="0" w:uiPriority="29" w:semiHidden="0" w:name=""/>
    <w:lsdException w:qFormat="1" w:unhideWhenUsed="0" w:uiPriority="30"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200" w:leftChars="200"/>
      <w:jc w:val="both"/>
    </w:pPr>
    <w:rPr>
      <w:sz w:val="24"/>
      <w:szCs w:val="24"/>
      <w:lang w:val="en-US" w:eastAsia="en-US" w:bidi="en-US"/>
    </w:rPr>
  </w:style>
  <w:style w:type="paragraph" w:styleId="2">
    <w:name w:val="heading 1"/>
    <w:basedOn w:val="1"/>
    <w:next w:val="1"/>
    <w:link w:val="27"/>
    <w:qFormat/>
    <w:uiPriority w:val="9"/>
    <w:pPr>
      <w:keepNext/>
      <w:spacing w:before="240" w:after="60"/>
      <w:outlineLvl w:val="0"/>
    </w:pPr>
    <w:rPr>
      <w:rFonts w:ascii="Cambria" w:hAnsi="Cambria" w:eastAsia="宋体"/>
      <w:b/>
      <w:bCs/>
      <w:kern w:val="32"/>
      <w:sz w:val="32"/>
      <w:szCs w:val="32"/>
    </w:rPr>
  </w:style>
  <w:style w:type="paragraph" w:styleId="3">
    <w:name w:val="heading 2"/>
    <w:basedOn w:val="1"/>
    <w:next w:val="1"/>
    <w:link w:val="28"/>
    <w:unhideWhenUsed/>
    <w:qFormat/>
    <w:uiPriority w:val="9"/>
    <w:pPr>
      <w:keepNext/>
      <w:spacing w:before="240" w:after="60"/>
      <w:outlineLvl w:val="1"/>
    </w:pPr>
    <w:rPr>
      <w:rFonts w:ascii="Cambria" w:hAnsi="Cambria" w:eastAsia="宋体"/>
      <w:b/>
      <w:bCs/>
      <w:i/>
      <w:iCs/>
      <w:sz w:val="28"/>
      <w:szCs w:val="28"/>
    </w:rPr>
  </w:style>
  <w:style w:type="paragraph" w:styleId="4">
    <w:name w:val="heading 3"/>
    <w:basedOn w:val="1"/>
    <w:next w:val="1"/>
    <w:link w:val="30"/>
    <w:unhideWhenUsed/>
    <w:qFormat/>
    <w:uiPriority w:val="9"/>
    <w:pPr>
      <w:keepNext/>
      <w:spacing w:before="240" w:after="60"/>
      <w:outlineLvl w:val="2"/>
    </w:pPr>
    <w:rPr>
      <w:rFonts w:ascii="Cambria" w:hAnsi="Cambria" w:eastAsia="宋体"/>
      <w:b/>
      <w:bCs/>
      <w:sz w:val="26"/>
      <w:szCs w:val="26"/>
    </w:rPr>
  </w:style>
  <w:style w:type="paragraph" w:styleId="5">
    <w:name w:val="heading 4"/>
    <w:basedOn w:val="1"/>
    <w:next w:val="1"/>
    <w:link w:val="32"/>
    <w:unhideWhenUsed/>
    <w:qFormat/>
    <w:uiPriority w:val="9"/>
    <w:pPr>
      <w:keepNext/>
      <w:spacing w:before="240" w:after="60"/>
      <w:outlineLvl w:val="3"/>
    </w:pPr>
    <w:rPr>
      <w:b/>
      <w:bCs/>
      <w:sz w:val="28"/>
      <w:szCs w:val="28"/>
    </w:rPr>
  </w:style>
  <w:style w:type="paragraph" w:styleId="6">
    <w:name w:val="heading 5"/>
    <w:basedOn w:val="1"/>
    <w:next w:val="1"/>
    <w:link w:val="33"/>
    <w:unhideWhenUsed/>
    <w:qFormat/>
    <w:uiPriority w:val="9"/>
    <w:pPr>
      <w:spacing w:before="240" w:after="60"/>
      <w:outlineLvl w:val="4"/>
    </w:pPr>
    <w:rPr>
      <w:b/>
      <w:bCs/>
      <w:i/>
      <w:iCs/>
      <w:sz w:val="26"/>
      <w:szCs w:val="26"/>
    </w:rPr>
  </w:style>
  <w:style w:type="paragraph" w:styleId="7">
    <w:name w:val="heading 6"/>
    <w:basedOn w:val="1"/>
    <w:next w:val="1"/>
    <w:link w:val="34"/>
    <w:unhideWhenUsed/>
    <w:qFormat/>
    <w:uiPriority w:val="9"/>
    <w:pPr>
      <w:spacing w:before="240" w:after="60"/>
      <w:outlineLvl w:val="5"/>
    </w:pPr>
    <w:rPr>
      <w:b/>
      <w:bCs/>
      <w:sz w:val="22"/>
      <w:szCs w:val="22"/>
    </w:rPr>
  </w:style>
  <w:style w:type="paragraph" w:styleId="8">
    <w:name w:val="heading 7"/>
    <w:basedOn w:val="1"/>
    <w:next w:val="1"/>
    <w:link w:val="35"/>
    <w:unhideWhenUsed/>
    <w:qFormat/>
    <w:uiPriority w:val="9"/>
    <w:pPr>
      <w:spacing w:before="240" w:after="60"/>
      <w:outlineLvl w:val="6"/>
    </w:pPr>
  </w:style>
  <w:style w:type="paragraph" w:styleId="9">
    <w:name w:val="heading 8"/>
    <w:basedOn w:val="1"/>
    <w:next w:val="1"/>
    <w:link w:val="36"/>
    <w:unhideWhenUsed/>
    <w:qFormat/>
    <w:uiPriority w:val="9"/>
    <w:pPr>
      <w:spacing w:before="240" w:after="60"/>
      <w:outlineLvl w:val="7"/>
    </w:pPr>
    <w:rPr>
      <w:i/>
      <w:iCs/>
    </w:rPr>
  </w:style>
  <w:style w:type="paragraph" w:styleId="10">
    <w:name w:val="heading 9"/>
    <w:basedOn w:val="1"/>
    <w:next w:val="1"/>
    <w:link w:val="37"/>
    <w:unhideWhenUsed/>
    <w:qFormat/>
    <w:uiPriority w:val="9"/>
    <w:pPr>
      <w:spacing w:before="240" w:after="60"/>
      <w:outlineLvl w:val="8"/>
    </w:pPr>
    <w:rPr>
      <w:rFonts w:ascii="Cambria" w:hAnsi="Cambria" w:eastAsia="宋体"/>
      <w:sz w:val="22"/>
      <w:szCs w:val="22"/>
    </w:rPr>
  </w:style>
  <w:style w:type="character" w:default="1" w:styleId="16">
    <w:name w:val="Default Paragraph Font"/>
    <w:unhideWhenUsed/>
    <w:uiPriority w:val="1"/>
  </w:style>
  <w:style w:type="table" w:default="1" w:styleId="20">
    <w:name w:val="Normal Table"/>
    <w:unhideWhenUsed/>
    <w:qFormat/>
    <w:uiPriority w:val="99"/>
    <w:tblPr>
      <w:tblStyle w:val="20"/>
      <w:tblCellMar>
        <w:top w:w="0" w:type="dxa"/>
        <w:left w:w="108" w:type="dxa"/>
        <w:bottom w:w="0" w:type="dxa"/>
        <w:right w:w="108" w:type="dxa"/>
      </w:tblCellMar>
    </w:tblPr>
    <w:trPr>
      <w:wBefore w:w="0" w:type="dxa"/>
    </w:trPr>
  </w:style>
  <w:style w:type="paragraph" w:styleId="11">
    <w:name w:val="footer"/>
    <w:basedOn w:val="1"/>
    <w:link w:val="49"/>
    <w:unhideWhenUsed/>
    <w:uiPriority w:val="99"/>
    <w:pPr>
      <w:tabs>
        <w:tab w:val="center" w:pos="4153"/>
        <w:tab w:val="right" w:pos="8306"/>
      </w:tabs>
      <w:snapToGrid w:val="0"/>
      <w:jc w:val="left"/>
    </w:pPr>
    <w:rPr>
      <w:sz w:val="18"/>
      <w:szCs w:val="18"/>
    </w:rPr>
  </w:style>
  <w:style w:type="paragraph" w:styleId="12">
    <w:name w:val="header"/>
    <w:basedOn w:val="1"/>
    <w:link w:val="48"/>
    <w:unhideWhenUsed/>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9"/>
    <w:qFormat/>
    <w:uiPriority w:val="11"/>
    <w:pPr>
      <w:spacing w:after="60"/>
      <w:jc w:val="center"/>
      <w:outlineLvl w:val="1"/>
    </w:pPr>
    <w:rPr>
      <w:rFonts w:ascii="Cambria" w:hAnsi="Cambria" w:eastAsia="宋体"/>
    </w:rPr>
  </w:style>
  <w:style w:type="paragraph" w:styleId="14">
    <w:name w:val="Normal (Web)"/>
    <w:basedOn w:val="1"/>
    <w:unhideWhenUsed/>
    <w:uiPriority w:val="99"/>
    <w:pPr>
      <w:spacing w:before="45" w:after="45" w:line="270" w:lineRule="atLeast"/>
      <w:ind w:left="0" w:leftChars="0"/>
      <w:jc w:val="left"/>
    </w:pPr>
    <w:rPr>
      <w:rFonts w:ascii="宋体" w:hAnsi="宋体" w:cs="宋体"/>
      <w:lang w:eastAsia="zh-CN" w:bidi="ar-SA"/>
    </w:rPr>
  </w:style>
  <w:style w:type="paragraph" w:styleId="15">
    <w:name w:val="Title"/>
    <w:basedOn w:val="1"/>
    <w:next w:val="1"/>
    <w:link w:val="38"/>
    <w:qFormat/>
    <w:uiPriority w:val="10"/>
    <w:pPr>
      <w:spacing w:before="240" w:after="60"/>
      <w:jc w:val="center"/>
      <w:outlineLvl w:val="0"/>
    </w:pPr>
    <w:rPr>
      <w:rFonts w:ascii="Cambria" w:hAnsi="Cambria" w:eastAsia="宋体"/>
      <w:b/>
      <w:bCs/>
      <w:kern w:val="28"/>
      <w:sz w:val="32"/>
      <w:szCs w:val="32"/>
    </w:rPr>
  </w:style>
  <w:style w:type="character" w:styleId="17">
    <w:name w:val="Strong"/>
    <w:basedOn w:val="16"/>
    <w:qFormat/>
    <w:uiPriority w:val="22"/>
    <w:rPr>
      <w:b/>
      <w:bCs/>
    </w:rPr>
  </w:style>
  <w:style w:type="character" w:styleId="18">
    <w:name w:val="Emphasis"/>
    <w:basedOn w:val="16"/>
    <w:qFormat/>
    <w:uiPriority w:val="20"/>
    <w:rPr>
      <w:rFonts w:ascii="Calibri" w:hAnsi="Calibri"/>
      <w:b/>
      <w:i/>
      <w:iCs/>
    </w:rPr>
  </w:style>
  <w:style w:type="character" w:styleId="19">
    <w:name w:val="Hyperlink"/>
    <w:basedOn w:val="16"/>
    <w:unhideWhenUsed/>
    <w:uiPriority w:val="99"/>
    <w:rPr>
      <w:color w:val="002D93"/>
      <w:u w:val="none"/>
    </w:rPr>
  </w:style>
  <w:style w:type="table" w:styleId="21">
    <w:name w:val="Dark List Accent 2"/>
    <w:basedOn w:val="20"/>
    <w:uiPriority w:val="70"/>
    <w:rPr>
      <w:color w:val="FFFFFF"/>
    </w:rPr>
    <w:tblPr>
      <w:tblStyle w:val="20"/>
      <w:tblStyleRowBandSize w:val="1"/>
      <w:tblStyleColBandSize w:val="1"/>
    </w:tblPr>
    <w:tcPr>
      <w:shd w:val="clear" w:color="auto" w:fill="C0504D"/>
    </w:tcPr>
    <w:tblStylePr w:type="firstRow">
      <w:rPr>
        <w:b/>
        <w:bCs/>
      </w:rPr>
      <w:tblPr>
        <w:tblStyle w:val="20"/>
      </w:tblPr>
      <w:tcPr>
        <w:tcBorders>
          <w:top w:val="nil"/>
          <w:left w:val="single" w:color="FFFFFF" w:sz="18" w:space="0"/>
          <w:bottom w:val="nil"/>
          <w:right w:val="nil"/>
          <w:insideH w:val="nil"/>
          <w:insideV w:val="nil"/>
        </w:tcBorders>
        <w:shd w:val="clear" w:color="auto" w:fill="000000"/>
      </w:tcPr>
    </w:tblStylePr>
    <w:tblStylePr w:type="lastRow">
      <w:tblPr>
        <w:tblStyle w:val="20"/>
      </w:tblPr>
      <w:tcPr>
        <w:tcBorders>
          <w:top w:val="single" w:color="FFFFFF" w:sz="18" w:space="0"/>
          <w:left w:val="nil"/>
          <w:bottom w:val="nil"/>
          <w:right w:val="nil"/>
          <w:insideH w:val="nil"/>
          <w:insideV w:val="nil"/>
        </w:tcBorders>
        <w:shd w:val="clear" w:color="auto" w:fill="622423"/>
      </w:tcPr>
    </w:tblStylePr>
    <w:tblStylePr w:type="firstCol">
      <w:tblPr>
        <w:tblStyle w:val="20"/>
      </w:tblPr>
      <w:tcPr>
        <w:tcBorders>
          <w:top w:val="nil"/>
          <w:left w:val="nil"/>
          <w:bottom w:val="nil"/>
          <w:right w:val="single" w:color="FFFFFF" w:sz="18" w:space="0"/>
          <w:insideH w:val="nil"/>
          <w:insideV w:val="nil"/>
        </w:tcBorders>
        <w:shd w:val="clear" w:color="auto" w:fill="943634"/>
      </w:tcPr>
    </w:tblStylePr>
    <w:tblStylePr w:type="lastCol">
      <w:tblPr>
        <w:tblStyle w:val="20"/>
      </w:tblPr>
      <w:tcPr>
        <w:tcBorders>
          <w:top w:val="nil"/>
          <w:left w:val="nil"/>
          <w:bottom w:val="single" w:color="FFFFFF" w:sz="18" w:space="0"/>
          <w:right w:val="nil"/>
          <w:insideH w:val="nil"/>
          <w:insideV w:val="nil"/>
        </w:tcBorders>
        <w:shd w:val="clear" w:color="auto" w:fill="943634"/>
      </w:tcPr>
    </w:tblStylePr>
    <w:tblStylePr w:type="band1Vert">
      <w:tblPr>
        <w:tblStyle w:val="20"/>
      </w:tblPr>
      <w:tcPr>
        <w:tcBorders>
          <w:top w:val="nil"/>
          <w:left w:val="nil"/>
          <w:bottom w:val="nil"/>
          <w:right w:val="nil"/>
          <w:insideH w:val="nil"/>
          <w:insideV w:val="nil"/>
        </w:tcBorders>
        <w:shd w:val="clear" w:color="auto" w:fill="943634"/>
      </w:tcPr>
    </w:tblStylePr>
    <w:tblStylePr w:type="band1Horz">
      <w:tblPr>
        <w:tblStyle w:val="20"/>
      </w:tblPr>
      <w:tcPr>
        <w:tcBorders>
          <w:top w:val="nil"/>
          <w:left w:val="nil"/>
          <w:bottom w:val="nil"/>
          <w:right w:val="nil"/>
          <w:insideH w:val="nil"/>
          <w:insideV w:val="nil"/>
        </w:tcBorders>
        <w:shd w:val="clear" w:color="auto" w:fill="943634"/>
      </w:tcPr>
    </w:tblStylePr>
  </w:style>
  <w:style w:type="paragraph" w:styleId="22">
    <w:name w:val=""/>
    <w:basedOn w:val="1"/>
    <w:qFormat/>
    <w:uiPriority w:val="34"/>
    <w:pPr>
      <w:ind w:left="720"/>
      <w:contextualSpacing/>
    </w:pPr>
  </w:style>
  <w:style w:type="paragraph" w:styleId="23">
    <w:name w:val=""/>
    <w:basedOn w:val="1"/>
    <w:link w:val="40"/>
    <w:qFormat/>
    <w:uiPriority w:val="1"/>
    <w:rPr>
      <w:szCs w:val="32"/>
      <w:lang w:bidi="ar-SA"/>
    </w:rPr>
  </w:style>
  <w:style w:type="paragraph" w:styleId="24">
    <w:name w:val=""/>
    <w:basedOn w:val="1"/>
    <w:next w:val="1"/>
    <w:link w:val="41"/>
    <w:qFormat/>
    <w:uiPriority w:val="29"/>
    <w:rPr>
      <w:i/>
    </w:rPr>
  </w:style>
  <w:style w:type="paragraph" w:styleId="25">
    <w:name w:val=""/>
    <w:basedOn w:val="1"/>
    <w:next w:val="1"/>
    <w:link w:val="42"/>
    <w:qFormat/>
    <w:uiPriority w:val="30"/>
    <w:pPr>
      <w:ind w:left="720" w:right="720"/>
    </w:pPr>
    <w:rPr>
      <w:b/>
      <w:i/>
      <w:szCs w:val="22"/>
    </w:rPr>
  </w:style>
  <w:style w:type="paragraph" w:styleId="26">
    <w:name w:val=""/>
    <w:basedOn w:val="2"/>
    <w:next w:val="1"/>
    <w:unhideWhenUsed/>
    <w:qFormat/>
    <w:uiPriority w:val="39"/>
    <w:pPr>
      <w:outlineLvl w:val="9"/>
    </w:pPr>
  </w:style>
  <w:style w:type="character" w:customStyle="1" w:styleId="27">
    <w:name w:val="标题 1 Char"/>
    <w:aliases w:val="100章 Char,标题 1 1 Char,编号标题1 Char,head:1# Char,Head 1 Char,11 Char,12 Char,13 Char,14 Char,15 Char,111 Char,121 Char,131 Char,16 Char,112 Char,122 Char,132 Char,17 Char,113 Char,123 Char,133 Char,18 Char,114 Char,124 Char,134 Char,141 Char"/>
    <w:basedOn w:val="16"/>
    <w:link w:val="2"/>
    <w:uiPriority w:val="9"/>
    <w:rPr>
      <w:rFonts w:ascii="Cambria" w:hAnsi="Cambria" w:eastAsia="宋体"/>
      <w:b/>
      <w:bCs/>
      <w:kern w:val="32"/>
      <w:sz w:val="32"/>
      <w:szCs w:val="32"/>
    </w:rPr>
  </w:style>
  <w:style w:type="character" w:customStyle="1" w:styleId="28">
    <w:name w:val="标题 2 Char"/>
    <w:aliases w:val="标题 1.1 Char1,101节 Char1,标题 1.1 Char Char1,101节 Char Char Char Char Char,章 Char1,2 headline Char1,h Char1,headline Char1,S&amp;R2 Char1,ERMH2 Char1,H2 Char1,PIM2 Char1,Heading 2 Hidden Char1,2nd level Char1,h2 Char1,2 Char1,Header 2 Char1,l2 Char1"/>
    <w:basedOn w:val="16"/>
    <w:link w:val="3"/>
    <w:uiPriority w:val="9"/>
    <w:rPr>
      <w:rFonts w:ascii="Cambria" w:hAnsi="Cambria" w:eastAsia="宋体"/>
      <w:b/>
      <w:bCs/>
      <w:i/>
      <w:iCs/>
      <w:sz w:val="28"/>
      <w:szCs w:val="28"/>
    </w:rPr>
  </w:style>
  <w:style w:type="character" w:customStyle="1" w:styleId="29">
    <w:name w:val="标题 2 Char2"/>
    <w:aliases w:val="标题 1.1 Char2,101节 Char,标题 1.1 Char Char,101节 Char Char Char Char Char1,章 Char,2 headline Char,h Char,headline Char,S&amp;R2 Char,ERMH2 Char,H2 Char,PIM2 Char,Heading 2 Hidden Char,2nd level Char,h2 Char,2 Char,Header 2 Char,l2 Char,Titre2 Char"/>
    <w:uiPriority w:val="9"/>
    <w:rPr>
      <w:rFonts w:ascii="Cambria" w:hAnsi="Cambria" w:eastAsia="宋体"/>
      <w:b/>
      <w:bCs/>
      <w:i/>
      <w:iCs/>
      <w:sz w:val="28"/>
      <w:szCs w:val="28"/>
    </w:rPr>
  </w:style>
  <w:style w:type="character" w:customStyle="1" w:styleId="30">
    <w:name w:val="标题 3 Char"/>
    <w:aliases w:val="101.01 Char,第二层条 Char,第三层 Char,论文标题 2 Char,1.1.1 标题 3 Char,Para3 Char,Title2 Char1,h3 Char1,3 bullet Char1,标题1.1.1 Char1,head:3# Char1,Head 3 Char1,título 3 Char1,列表编号3 Char1,二级节名 Char1,3rd level Char1,l3 Char1,Level 3 Head Char1,H3 Char1"/>
    <w:basedOn w:val="16"/>
    <w:link w:val="4"/>
    <w:uiPriority w:val="9"/>
    <w:rPr>
      <w:rFonts w:ascii="Cambria" w:hAnsi="Cambria" w:eastAsia="宋体"/>
      <w:b/>
      <w:bCs/>
      <w:sz w:val="26"/>
      <w:szCs w:val="26"/>
    </w:rPr>
  </w:style>
  <w:style w:type="character" w:customStyle="1" w:styleId="31">
    <w:name w:val="标题 3 Char2"/>
    <w:aliases w:val="101.01 Char1,第二层条 Char1,第三层 Char1,论文标题 2 Char1,1.1.1 标题 3 Char1,Para3 Char1,Title2 Char,h3 Char,3 bullet Char,标题1.1.1 Char,head:3# Char,Head 3 Char,título 3 Char,列表编号3 Char,二级节名 Char,3rd level Char,l3 Char,Level 3 Head Char,H3 Char,b Char"/>
    <w:uiPriority w:val="9"/>
    <w:rPr>
      <w:rFonts w:ascii="Cambria" w:hAnsi="Cambria" w:eastAsia="宋体"/>
      <w:b/>
      <w:bCs/>
      <w:sz w:val="26"/>
      <w:szCs w:val="26"/>
    </w:rPr>
  </w:style>
  <w:style w:type="character" w:customStyle="1" w:styleId="32">
    <w:name w:val="标题 4 Char"/>
    <w:aliases w:val="4 dash Char,d Char,3 Char,dash Char,4 dash1 Char,d1 Char,31 Char,dash1 Char,4 dash2 Char,d2 Char,32 Char,dash2 Char,4 dash11 Char,d11 Char,311 Char,dash11 Char,4 dash3 Char,d3 Char,33 Char,dash3 Char,4 dash12 Char,d12 Char,312 Char,dash12 Char"/>
    <w:basedOn w:val="16"/>
    <w:link w:val="5"/>
    <w:uiPriority w:val="9"/>
    <w:rPr>
      <w:b/>
      <w:bCs/>
      <w:sz w:val="28"/>
      <w:szCs w:val="28"/>
    </w:rPr>
  </w:style>
  <w:style w:type="character" w:customStyle="1" w:styleId="33">
    <w:name w:val="标题 5 Char"/>
    <w:aliases w:val="款，1 Char,55 Char,h5 Char,head:5# Char,标题 5 Char Char Char,标题 1) Char,第四层条 Char,第五层 Char,H5 Char,ds Char,dd Char,Roman list Char,PIM 5 Char,Block Label Char,heading 5 Char,5 Char,Level 3 - i Char,Table label Char,l5 Char,hm Char,mh2 Char,s Char"/>
    <w:basedOn w:val="16"/>
    <w:link w:val="6"/>
    <w:uiPriority w:val="9"/>
    <w:rPr>
      <w:b/>
      <w:bCs/>
      <w:i/>
      <w:iCs/>
      <w:sz w:val="26"/>
      <w:szCs w:val="26"/>
    </w:rPr>
  </w:style>
  <w:style w:type="character" w:customStyle="1" w:styleId="34">
    <w:name w:val="标题 6 Char"/>
    <w:aliases w:val="Head 6 Char,H6 Char,PIM 6 Char,BOD 4 Char,编号1. Char,sub-dash Char,sd Char"/>
    <w:basedOn w:val="16"/>
    <w:link w:val="7"/>
    <w:uiPriority w:val="9"/>
    <w:rPr>
      <w:b/>
      <w:bCs/>
    </w:rPr>
  </w:style>
  <w:style w:type="character" w:customStyle="1" w:styleId="35">
    <w:name w:val="标题 7 Char"/>
    <w:aliases w:val="(use for appendix) Char,(use for appendix)1 Char,(use for appendix)2 Char,(use for appendix)3 Char,(use for appendix)4 Char,(use for appendix)5 Char,第六层条 Char,letter list Char,PIM 7 Char,不用 Char,Legal Level 1.1. Char,Level 1.1 Char,L7 Char"/>
    <w:basedOn w:val="16"/>
    <w:link w:val="8"/>
    <w:uiPriority w:val="9"/>
    <w:rPr>
      <w:sz w:val="24"/>
      <w:szCs w:val="24"/>
    </w:rPr>
  </w:style>
  <w:style w:type="character" w:customStyle="1" w:styleId="36">
    <w:name w:val="标题 8 Char"/>
    <w:aliases w:val="(use for figures) Char,(figure) Char,第七层条 Char,不用8 Char,注意框体 Char,Legal Level 1.1.1. Char"/>
    <w:basedOn w:val="16"/>
    <w:link w:val="9"/>
    <w:uiPriority w:val="9"/>
    <w:rPr>
      <w:i/>
      <w:iCs/>
      <w:sz w:val="24"/>
      <w:szCs w:val="24"/>
    </w:rPr>
  </w:style>
  <w:style w:type="character" w:customStyle="1" w:styleId="37">
    <w:name w:val="标题 9 Char"/>
    <w:aliases w:val="(use for tables) Char,(table) Char,(tables) Char,第八层条 Char,PIM 9 Char,Appendix Char,不用9 Char,Legal Level 1.1.1.1. Char,三级标题 Char,huh Char"/>
    <w:basedOn w:val="16"/>
    <w:link w:val="10"/>
    <w:uiPriority w:val="9"/>
    <w:rPr>
      <w:rFonts w:ascii="Cambria" w:hAnsi="Cambria" w:eastAsia="宋体"/>
    </w:rPr>
  </w:style>
  <w:style w:type="character" w:customStyle="1" w:styleId="38">
    <w:name w:val="标题 Char"/>
    <w:basedOn w:val="16"/>
    <w:link w:val="15"/>
    <w:uiPriority w:val="10"/>
    <w:rPr>
      <w:rFonts w:ascii="Cambria" w:hAnsi="Cambria" w:eastAsia="宋体"/>
      <w:b/>
      <w:bCs/>
      <w:kern w:val="28"/>
      <w:sz w:val="32"/>
      <w:szCs w:val="32"/>
    </w:rPr>
  </w:style>
  <w:style w:type="character" w:customStyle="1" w:styleId="39">
    <w:name w:val="副标题 Char"/>
    <w:basedOn w:val="16"/>
    <w:link w:val="13"/>
    <w:uiPriority w:val="11"/>
    <w:rPr>
      <w:rFonts w:ascii="Cambria" w:hAnsi="Cambria" w:eastAsia="宋体"/>
      <w:sz w:val="24"/>
      <w:szCs w:val="24"/>
    </w:rPr>
  </w:style>
  <w:style w:type="character" w:customStyle="1" w:styleId="40">
    <w:name w:val="无间隔 Char"/>
    <w:link w:val="23"/>
    <w:uiPriority w:val="1"/>
    <w:rPr>
      <w:sz w:val="24"/>
      <w:szCs w:val="32"/>
    </w:rPr>
  </w:style>
  <w:style w:type="character" w:customStyle="1" w:styleId="41">
    <w:name w:val="引用 Char"/>
    <w:basedOn w:val="16"/>
    <w:link w:val="24"/>
    <w:uiPriority w:val="29"/>
    <w:rPr>
      <w:i/>
      <w:sz w:val="24"/>
      <w:szCs w:val="24"/>
    </w:rPr>
  </w:style>
  <w:style w:type="character" w:customStyle="1" w:styleId="42">
    <w:name w:val="明显引用 Char"/>
    <w:basedOn w:val="16"/>
    <w:link w:val="25"/>
    <w:uiPriority w:val="30"/>
    <w:rPr>
      <w:b/>
      <w:i/>
      <w:sz w:val="24"/>
    </w:rPr>
  </w:style>
  <w:style w:type="character" w:styleId="43">
    <w:name w:val=""/>
    <w:qFormat/>
    <w:uiPriority w:val="19"/>
    <w:rPr>
      <w:i/>
      <w:color w:val="5A5A5A"/>
    </w:rPr>
  </w:style>
  <w:style w:type="character" w:styleId="44">
    <w:name w:val=""/>
    <w:basedOn w:val="16"/>
    <w:qFormat/>
    <w:uiPriority w:val="21"/>
    <w:rPr>
      <w:b/>
      <w:i/>
      <w:sz w:val="24"/>
      <w:szCs w:val="24"/>
      <w:u w:val="single"/>
    </w:rPr>
  </w:style>
  <w:style w:type="character" w:styleId="45">
    <w:name w:val=""/>
    <w:basedOn w:val="16"/>
    <w:qFormat/>
    <w:uiPriority w:val="31"/>
    <w:rPr>
      <w:sz w:val="24"/>
      <w:szCs w:val="24"/>
      <w:u w:val="single"/>
    </w:rPr>
  </w:style>
  <w:style w:type="character" w:styleId="46">
    <w:name w:val=""/>
    <w:basedOn w:val="16"/>
    <w:qFormat/>
    <w:uiPriority w:val="32"/>
    <w:rPr>
      <w:b/>
      <w:sz w:val="24"/>
      <w:u w:val="single"/>
    </w:rPr>
  </w:style>
  <w:style w:type="character" w:styleId="47">
    <w:name w:val=""/>
    <w:basedOn w:val="16"/>
    <w:qFormat/>
    <w:uiPriority w:val="33"/>
    <w:rPr>
      <w:rFonts w:ascii="Cambria" w:hAnsi="Cambria" w:eastAsia="宋体"/>
      <w:b/>
      <w:i/>
      <w:sz w:val="24"/>
      <w:szCs w:val="24"/>
    </w:rPr>
  </w:style>
  <w:style w:type="character" w:customStyle="1" w:styleId="48">
    <w:name w:val="页眉 Char"/>
    <w:basedOn w:val="16"/>
    <w:link w:val="12"/>
    <w:uiPriority w:val="99"/>
    <w:rPr>
      <w:sz w:val="18"/>
      <w:szCs w:val="18"/>
      <w:lang w:eastAsia="en-US" w:bidi="en-US"/>
    </w:rPr>
  </w:style>
  <w:style w:type="character" w:customStyle="1" w:styleId="49">
    <w:name w:val="页脚 Char"/>
    <w:basedOn w:val="16"/>
    <w:link w:val="11"/>
    <w:uiPriority w:val="99"/>
    <w:rPr>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中国中铁</Company>
  <Pages>3</Pages>
  <Words>331</Words>
  <Characters>1889</Characters>
  <Lines>15</Lines>
  <Paragraphs>4</Paragraphs>
  <ScaleCrop>false</ScaleCrop>
  <LinksUpToDate>false</LinksUpToDate>
  <CharactersWithSpaces>2216</CharactersWithSpaces>
  <Application>WPS Office_3.7.0.5920_F1E327BC-269C-435d-A152-05C5408002CA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2012-01-15T21:24:00Z</dcterms:created>
  <dc:creator>X201i</dc:creator>
  <cp:lastModifiedBy>Robin</cp:lastModifiedBy>
  <dcterms:modified xsi:type="dcterms:W3CDTF">2022-02-21T17:41:18Z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2052-3.7.0.5920</vt:lpwstr>
  </property>
</Properties>
</file>