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eastAsia="標楷體"/>
          <w:b/>
          <w:sz w:val="44"/>
        </w:rPr>
        <w:t>新北市淡水區公所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84" w:lineRule="auto" w:before="0" w:after="0"/>
        <w:jc w:val="center"/>
      </w:pPr>
      <w:r>
        <w:rPr>
          <w:rFonts w:ascii="Times New Roman" w:hAnsi="Times New Roman" w:eastAsia="標楷體"/>
          <w:b w:val="0"/>
          <w:sz w:val="48"/>
        </w:rPr>
        <w:t>淡水區新市三路二段周邊人行道改善工程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eastAsia="標楷體"/>
          <w:b w:val="0"/>
          <w:sz w:val="72"/>
        </w:rPr>
        <w:t>基本設計報告書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eastAsia="標楷體"/>
          <w:b w:val="0"/>
          <w:sz w:val="32"/>
        </w:rPr>
        <w:t>設計單位：兩家工程顧問有限公司</w:t>
      </w:r>
    </w:p>
    <w:p>
      <w:pPr>
        <w:spacing w:line="360" w:lineRule="auto" w:before="240" w:after="0"/>
        <w:jc w:val="center"/>
      </w:pPr>
      <w:r>
        <w:rPr>
          <w:rFonts w:ascii="Times New Roman" w:hAnsi="Times New Roman" w:eastAsia="標楷體"/>
          <w:b w:val="0"/>
          <w:sz w:val="32"/>
        </w:rPr>
        <w:t>中華民國115年9月</w:t>
      </w:r>
    </w:p>
    <w:p>
      <w:pPr>
        <w:sectPr>
          <w:headerReference w:type="default" r:id="rId9"/>
          <w:footerReference w:type="default" r:id="rId10"/>
          <w:pgSz w:w="11906" w:h="16838"/>
          <w:pgMar w:top="1474" w:right="1247" w:bottom="1247" w:left="1417" w:header="567" w:footer="567" w:gutter="0"/>
          <w:cols w:space="720"/>
          <w:docGrid w:linePitch="360"/>
        </w:sectPr>
      </w:pPr>
    </w:p>
    <w:p>
      <w:pPr>
        <w:spacing w:before="160" w:after="80"/>
        <w:jc w:val="center"/>
      </w:pPr>
      <w:r>
        <w:rPr>
          <w:rFonts w:ascii="Times New Roman" w:hAnsi="Times New Roman" w:eastAsia="標楷體"/>
          <w:b/>
          <w:sz w:val="28"/>
        </w:rPr>
        <w:t>淡水區新市三路二段周邊人行道改善工程</w:t>
      </w:r>
    </w:p>
    <w:p>
      <w:pPr>
        <w:spacing w:before="160" w:after="80"/>
        <w:jc w:val="center"/>
      </w:pPr>
      <w:r>
        <w:rPr>
          <w:rFonts w:ascii="Times New Roman" w:hAnsi="Times New Roman" w:eastAsia="標楷體"/>
          <w:b/>
          <w:sz w:val="28"/>
        </w:rPr>
        <w:t>目　　錄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/>
          <w:sz w:val="24"/>
        </w:rPr>
        <w:t>目　　錄</w:t>
        <w:tab/>
        <w:t>i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/>
          <w:sz w:val="24"/>
        </w:rPr>
        <w:t>第一章 緒論</w:t>
        <w:tab/>
        <w:t>1</w:t>
      </w:r>
    </w:p>
    <w:p>
      <w:pPr>
        <w:tabs>
          <w:tab w:pos="9071" w:val="right" w:leader="dot"/>
        </w:tabs>
        <w:spacing w:line="300" w:lineRule="auto"/>
        <w:ind w:left="340"/>
      </w:pPr>
      <w:r>
        <w:rPr>
          <w:rFonts w:ascii="Times New Roman" w:hAnsi="Times New Roman" w:eastAsia="新細明體"/>
          <w:b w:val="0"/>
          <w:sz w:val="23"/>
        </w:rPr>
        <w:t>1.1 計畫緣起</w:t>
        <w:tab/>
        <w:t>1</w:t>
      </w:r>
    </w:p>
    <w:p>
      <w:pPr>
        <w:tabs>
          <w:tab w:pos="9071" w:val="right" w:leader="dot"/>
        </w:tabs>
        <w:spacing w:line="300" w:lineRule="auto"/>
        <w:ind w:left="340"/>
      </w:pPr>
      <w:r>
        <w:rPr>
          <w:rFonts w:ascii="Times New Roman" w:hAnsi="Times New Roman" w:eastAsia="新細明體"/>
          <w:b w:val="0"/>
          <w:sz w:val="23"/>
        </w:rPr>
        <w:t>1.2 計畫目標</w:t>
        <w:tab/>
        <w:t>1</w:t>
      </w:r>
    </w:p>
    <w:p>
      <w:pPr>
        <w:tabs>
          <w:tab w:pos="9071" w:val="right" w:leader="dot"/>
        </w:tabs>
        <w:spacing w:line="300" w:lineRule="auto"/>
        <w:ind w:left="340"/>
      </w:pPr>
      <w:r>
        <w:rPr>
          <w:rFonts w:ascii="Times New Roman" w:hAnsi="Times New Roman" w:eastAsia="新細明體"/>
          <w:b w:val="0"/>
          <w:sz w:val="23"/>
        </w:rPr>
        <w:t>1.3 計畫範圍</w:t>
        <w:tab/>
        <w:t>2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/>
          <w:sz w:val="24"/>
        </w:rPr>
        <w:t>第二章 背景環境資料</w:t>
        <w:tab/>
        <w:t>4</w:t>
      </w:r>
    </w:p>
    <w:p>
      <w:pPr>
        <w:tabs>
          <w:tab w:pos="9071" w:val="right" w:leader="dot"/>
        </w:tabs>
        <w:spacing w:line="300" w:lineRule="auto"/>
        <w:ind w:left="340"/>
      </w:pPr>
      <w:r>
        <w:rPr>
          <w:rFonts w:ascii="Times New Roman" w:hAnsi="Times New Roman" w:eastAsia="新細明體"/>
          <w:b w:val="0"/>
          <w:sz w:val="23"/>
        </w:rPr>
        <w:t>2.1 工區現況</w:t>
        <w:tab/>
        <w:t>4</w:t>
      </w:r>
    </w:p>
    <w:p>
      <w:pPr>
        <w:tabs>
          <w:tab w:pos="9071" w:val="right" w:leader="dot"/>
        </w:tabs>
        <w:spacing w:line="300" w:lineRule="auto"/>
        <w:ind w:left="680"/>
      </w:pPr>
      <w:r>
        <w:rPr>
          <w:rFonts w:ascii="Times New Roman" w:hAnsi="Times New Roman" w:eastAsia="新細明體"/>
          <w:b w:val="0"/>
          <w:sz w:val="23"/>
        </w:rPr>
        <w:t>2.1.1 施作基地及鄰近土地使用及活動情形</w:t>
        <w:tab/>
        <w:t>4</w:t>
      </w:r>
    </w:p>
    <w:p>
      <w:pPr>
        <w:tabs>
          <w:tab w:pos="9071" w:val="right" w:leader="dot"/>
        </w:tabs>
        <w:spacing w:line="300" w:lineRule="auto"/>
        <w:ind w:left="680"/>
      </w:pPr>
      <w:r>
        <w:rPr>
          <w:rFonts w:ascii="Times New Roman" w:hAnsi="Times New Roman" w:eastAsia="新細明體"/>
          <w:b w:val="0"/>
          <w:sz w:val="23"/>
        </w:rPr>
        <w:t>2.1.2 停車需求</w:t>
        <w:tab/>
        <w:t>6</w:t>
      </w:r>
    </w:p>
    <w:p>
      <w:pPr>
        <w:tabs>
          <w:tab w:pos="9071" w:val="right" w:leader="dot"/>
        </w:tabs>
        <w:spacing w:line="300" w:lineRule="auto"/>
        <w:ind w:left="680"/>
      </w:pPr>
      <w:r>
        <w:rPr>
          <w:rFonts w:ascii="Times New Roman" w:hAnsi="Times New Roman" w:eastAsia="新細明體"/>
          <w:b w:val="0"/>
          <w:sz w:val="23"/>
        </w:rPr>
        <w:t>2.1.3 工區現況照片與問題</w:t>
        <w:tab/>
        <w:t>7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/>
          <w:sz w:val="24"/>
        </w:rPr>
        <w:t>第三章 基本設計</w:t>
        <w:tab/>
        <w:t>10</w:t>
      </w:r>
    </w:p>
    <w:p>
      <w:pPr>
        <w:tabs>
          <w:tab w:pos="9071" w:val="right" w:leader="dot"/>
        </w:tabs>
        <w:spacing w:line="300" w:lineRule="auto"/>
        <w:ind w:left="340"/>
      </w:pPr>
      <w:r>
        <w:rPr>
          <w:rFonts w:ascii="Times New Roman" w:hAnsi="Times New Roman" w:eastAsia="新細明體"/>
          <w:b w:val="0"/>
          <w:sz w:val="23"/>
        </w:rPr>
        <w:t>3.1 設計構想</w:t>
        <w:tab/>
        <w:t>10</w:t>
      </w:r>
    </w:p>
    <w:p>
      <w:pPr>
        <w:tabs>
          <w:tab w:pos="9071" w:val="right" w:leader="dot"/>
        </w:tabs>
        <w:spacing w:line="300" w:lineRule="auto"/>
        <w:ind w:left="680"/>
      </w:pPr>
      <w:r>
        <w:rPr>
          <w:rFonts w:ascii="Times New Roman" w:hAnsi="Times New Roman" w:eastAsia="新細明體"/>
          <w:b w:val="0"/>
          <w:sz w:val="23"/>
        </w:rPr>
        <w:t>3.1.1 平面配置圖</w:t>
        <w:tab/>
        <w:t>11</w:t>
      </w:r>
    </w:p>
    <w:p>
      <w:pPr>
        <w:tabs>
          <w:tab w:pos="9071" w:val="right" w:leader="dot"/>
        </w:tabs>
        <w:spacing w:line="300" w:lineRule="auto"/>
        <w:ind w:left="680"/>
      </w:pPr>
      <w:r>
        <w:rPr>
          <w:rFonts w:ascii="Times New Roman" w:hAnsi="Times New Roman" w:eastAsia="新細明體"/>
          <w:b w:val="0"/>
          <w:sz w:val="23"/>
        </w:rPr>
        <w:t>3.1.2 斷面圖</w:t>
        <w:tab/>
        <w:t>17</w:t>
      </w:r>
    </w:p>
    <w:p>
      <w:pPr>
        <w:tabs>
          <w:tab w:pos="9071" w:val="right" w:leader="dot"/>
        </w:tabs>
        <w:spacing w:line="300" w:lineRule="auto"/>
        <w:ind w:left="680"/>
      </w:pPr>
      <w:r>
        <w:rPr>
          <w:rFonts w:ascii="Times New Roman" w:hAnsi="Times New Roman" w:eastAsia="新細明體"/>
          <w:b w:val="0"/>
          <w:sz w:val="23"/>
        </w:rPr>
        <w:t>3.1.3 路口改善平面圖</w:t>
        <w:tab/>
        <w:t>20</w:t>
      </w:r>
    </w:p>
    <w:p>
      <w:pPr>
        <w:tabs>
          <w:tab w:pos="9071" w:val="right" w:leader="dot"/>
        </w:tabs>
        <w:spacing w:line="300" w:lineRule="auto"/>
        <w:ind w:left="340"/>
      </w:pPr>
      <w:r>
        <w:rPr>
          <w:rFonts w:ascii="Times New Roman" w:hAnsi="Times New Roman" w:eastAsia="新細明體"/>
          <w:b w:val="0"/>
          <w:sz w:val="23"/>
        </w:rPr>
        <w:t>3.2 細部設計原則</w:t>
        <w:tab/>
        <w:t>23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/>
          <w:sz w:val="24"/>
        </w:rPr>
        <w:t>第四章 工程經費與工期</w:t>
        <w:tab/>
        <w:t>28</w:t>
      </w:r>
    </w:p>
    <w:p>
      <w:pPr>
        <w:tabs>
          <w:tab w:pos="9071" w:val="right" w:leader="dot"/>
        </w:tabs>
        <w:spacing w:line="300" w:lineRule="auto"/>
        <w:ind w:left="340"/>
      </w:pPr>
      <w:r>
        <w:rPr>
          <w:rFonts w:ascii="Times New Roman" w:hAnsi="Times New Roman" w:eastAsia="新細明體"/>
          <w:b w:val="0"/>
          <w:sz w:val="23"/>
        </w:rPr>
        <w:t>4.1 工程經費</w:t>
        <w:tab/>
        <w:t>28</w:t>
      </w:r>
    </w:p>
    <w:p>
      <w:pPr>
        <w:tabs>
          <w:tab w:pos="9071" w:val="right" w:leader="dot"/>
        </w:tabs>
        <w:spacing w:line="300" w:lineRule="auto"/>
        <w:ind w:left="340"/>
      </w:pPr>
      <w:r>
        <w:rPr>
          <w:rFonts w:ascii="Times New Roman" w:hAnsi="Times New Roman" w:eastAsia="新細明體"/>
          <w:b w:val="0"/>
          <w:sz w:val="23"/>
        </w:rPr>
        <w:t>4.2 施工工期</w:t>
        <w:tab/>
        <w:t>29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/>
          <w:sz w:val="24"/>
        </w:rPr>
        <w:t>第五章 規範綱要</w:t>
        <w:tab/>
        <w:t>31</w:t>
      </w:r>
    </w:p>
    <w:p>
      <w:pPr>
        <w:tabs>
          <w:tab w:pos="9071" w:val="right" w:leader="dot"/>
        </w:tabs>
        <w:spacing w:line="300" w:lineRule="auto"/>
        <w:ind w:left="340"/>
      </w:pPr>
      <w:r>
        <w:rPr>
          <w:rFonts w:ascii="Times New Roman" w:hAnsi="Times New Roman" w:eastAsia="新細明體"/>
          <w:b w:val="0"/>
          <w:sz w:val="23"/>
        </w:rPr>
        <w:t>5.1 施工規範綱要</w:t>
        <w:tab/>
        <w:t>31</w:t>
      </w:r>
    </w:p>
    <w:p>
      <w:pPr>
        <w:tabs>
          <w:tab w:pos="9071" w:val="right" w:leader="dot"/>
        </w:tabs>
        <w:spacing w:line="300" w:lineRule="auto" w:before="160"/>
        <w:ind w:left="0"/>
      </w:pPr>
      <w:r>
        <w:rPr>
          <w:rFonts w:ascii="Times New Roman" w:hAnsi="Times New Roman" w:eastAsia="新細明體"/>
          <w:b/>
          <w:sz w:val="24"/>
        </w:rPr>
        <w:t>附件一　基本設計預算書圖</w:t>
        <w:tab/>
        <w:t>34</w:t>
      </w:r>
    </w:p>
    <w:p>
      <w:r>
        <w:br w:type="page"/>
      </w:r>
    </w:p>
    <w:p>
      <w:pPr>
        <w:spacing w:before="160" w:after="80"/>
        <w:jc w:val="center"/>
      </w:pPr>
      <w:r>
        <w:rPr>
          <w:rFonts w:ascii="Times New Roman" w:hAnsi="Times New Roman" w:eastAsia="標楷體"/>
          <w:b/>
          <w:sz w:val="28"/>
        </w:rPr>
        <w:t>圖　目　錄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圖1.1 計畫範圍圖</w:t>
        <w:tab/>
        <w:t>2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圖1.2 土地權屬分佈圖</w:t>
        <w:tab/>
        <w:t>3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圖2.1 計畫範圍周邊道路現況</w:t>
        <w:tab/>
        <w:t>5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圖2.2 周邊景點及設施</w:t>
        <w:tab/>
        <w:t>6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圖2.3 新市三路二段現況照片(1/2)</w:t>
        <w:tab/>
        <w:t>7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圖2.4 新市三路二段現況照片(2/2)</w:t>
        <w:tab/>
        <w:t>8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圖2.5 崁頂二路現況照片(1/2)</w:t>
        <w:tab/>
        <w:t>8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圖2.6 崁頂二路現況照片(2/2)</w:t>
        <w:tab/>
        <w:t>9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圖2.7 現況道路斷面配置圖</w:t>
        <w:tab/>
        <w:t>9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圖3.1 平面配置總圖</w:t>
        <w:tab/>
        <w:t>11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圖3.2 平面配置圖(1)（A0K+000～A0K+080）</w:t>
        <w:tab/>
        <w:t>12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圖3.3 平面配置圖(2)（A0K+080～A0K+200）</w:t>
        <w:tab/>
        <w:t>12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圖3.4 平面配置圖(3)（A0K+200～A0K+300）</w:t>
        <w:tab/>
        <w:t>13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圖3.5 平面配置圖(4)（A0K+300～A0K+420）</w:t>
        <w:tab/>
        <w:t>13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圖3.6 平面配置圖(5)（A0K+420～A0K+540）</w:t>
        <w:tab/>
        <w:t>14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圖3.7 平面配置圖(6)（A0K+540～A0K+601.4）</w:t>
        <w:tab/>
        <w:t>14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圖3.8 平面配置圖(7)（B0K+000～B0K+100）</w:t>
        <w:tab/>
        <w:t>15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圖3.9 平面配置圖(8)（B0K+100～B0K+236.2）</w:t>
        <w:tab/>
        <w:t>16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圖3.10 平面配置圖(10)（C0K+000～C0K+140）</w:t>
        <w:tab/>
        <w:t>16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圖3.11 平面配置圖(9)（C0K+140～C0K+239）</w:t>
        <w:tab/>
        <w:t>17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圖3.12 新市三路二段道路斷面配置圖（A0K+100）</w:t>
        <w:tab/>
        <w:t>18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圖3.13 新市三路二段道路斷面配置圖（A0K+500）</w:t>
        <w:tab/>
        <w:t>18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圖3.14 崁頂二路道路斷面配置圖（B0K+020）</w:t>
        <w:tab/>
        <w:t>19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圖3.15 崁頂二路道路斷面配置圖（C0K+070）</w:t>
        <w:tab/>
        <w:t>19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圖3.16 新市三路二段／崁頂二路路口改善平面圖</w:t>
        <w:tab/>
        <w:t>20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圖3.17 新市三路二段／義山路二段路口改善平面圖</w:t>
        <w:tab/>
        <w:t>21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圖3.18 新市三路二段／沙崙路二段路口改善平面圖</w:t>
        <w:tab/>
        <w:t>21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圖3.19 崁頂二路／新市二路三段路口改善平面圖</w:t>
        <w:tab/>
        <w:t>22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圖3.20 崁頂二路／新市五路三段路口改善平面圖</w:t>
        <w:tab/>
        <w:t>23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圖3.21 無障礙坡道作法 TYPE A</w:t>
        <w:tab/>
        <w:t>24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圖3.22 無障礙坡道作法 TYPE B</w:t>
        <w:tab/>
        <w:t>24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圖3.23 無障礙坡道作法 TYPE C</w:t>
        <w:tab/>
        <w:t>25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圖3.24 無障礙坡道作法 TYPE C'</w:t>
        <w:tab/>
        <w:t>25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圖3.25 無障礙坡道作法 TYPE D</w:t>
        <w:tab/>
        <w:t>26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圖3.26 無障礙坡道作法 TYPE E</w:t>
        <w:tab/>
        <w:t>26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圖4.1 施工預定進度表</w:t>
        <w:tab/>
        <w:t>30</w:t>
      </w:r>
    </w:p>
    <w:p>
      <w:pPr>
        <w:spacing w:before="160" w:after="80"/>
        <w:jc w:val="center"/>
      </w:pPr>
      <w:r>
        <w:rPr>
          <w:rFonts w:ascii="Times New Roman" w:hAnsi="Times New Roman" w:eastAsia="標楷體"/>
          <w:b/>
          <w:sz w:val="28"/>
        </w:rPr>
        <w:t>表　目　錄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表2.1 停車格位及喬木數量對照表</w:t>
        <w:tab/>
        <w:t>7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表3.1 道路斷面配置對照表</w:t>
        <w:tab/>
        <w:t>17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表3.2 鋪面材料配置表</w:t>
        <w:tab/>
        <w:t>23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表4.1 工程經費概算表</w:t>
        <w:tab/>
        <w:t>28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表4.2 直接工程費分項表</w:t>
        <w:tab/>
        <w:t>28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表4.3 間接工程費明細表</w:t>
        <w:tab/>
        <w:t>29</w:t>
      </w:r>
    </w:p>
    <w:p>
      <w:pPr>
        <w:tabs>
          <w:tab w:pos="9071" w:val="right" w:leader="dot"/>
        </w:tabs>
        <w:spacing w:line="300" w:lineRule="auto"/>
        <w:ind w:left="0"/>
      </w:pPr>
      <w:r>
        <w:rPr>
          <w:rFonts w:ascii="Times New Roman" w:hAnsi="Times New Roman" w:eastAsia="新細明體"/>
          <w:b w:val="0"/>
          <w:sz w:val="24"/>
        </w:rPr>
        <w:t>表4.4 主要工程項目數量表</w:t>
        <w:tab/>
        <w:t>29</w:t>
      </w:r>
    </w:p>
    <w:p>
      <w:pPr>
        <w:sectPr>
          <w:headerReference w:type="default" r:id="rId11"/>
          <w:footerReference w:type="default" r:id="rId12"/>
          <w:pgSz w:w="11906" w:h="16838"/>
          <w:pgMar w:top="1474" w:right="1247" w:bottom="1247" w:left="1417" w:header="567" w:footer="567" w:gutter="0"/>
          <w:cols w:space="720"/>
          <w:docGrid w:linePitch="360"/>
          <w:pgNumType w:fmt="lowerRoman" w:start="1"/>
        </w:sectPr>
      </w:pPr>
    </w:p>
    <w:p>
      <w:pPr>
        <w:keepNext/>
        <w:spacing w:line="360" w:lineRule="auto" w:before="0" w:after="200"/>
        <w:jc w:val="center"/>
      </w:pPr>
      <w:r>
        <w:rPr>
          <w:rFonts w:ascii="Times New Roman" w:hAnsi="Times New Roman" w:eastAsia="標楷體"/>
          <w:b/>
          <w:sz w:val="36"/>
        </w:rPr>
        <w:t>第一章 緒論</w:t>
      </w:r>
    </w:p>
    <w:p>
      <w:pPr>
        <w:keepNext/>
        <w:spacing w:line="360" w:lineRule="auto" w:before="200" w:after="80"/>
        <w:jc w:val="both"/>
      </w:pPr>
      <w:r>
        <w:rPr>
          <w:rFonts w:ascii="Times New Roman" w:hAnsi="Times New Roman" w:eastAsia="標楷體"/>
          <w:b/>
          <w:sz w:val="28"/>
        </w:rPr>
        <w:t>1.1 計畫緣起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新細明體"/>
          <w:b w:val="0"/>
          <w:sz w:val="24"/>
        </w:rPr>
        <w:t>新市三路二段位於淡海新市鎮核心區，鄰近淡海輕軌淡海新市鎮站，為周邊社區往返輕軌站、學校及商業設施之主要道路。隨著新市鎮人口持續成長，行人通行使用率逐年提高，惟本路段及與其交叉之崁頂二路，人行道鋪面老舊且不平整，緣石、溝蓋破損，植栽採樹穴型式，影響行人通行之安全與舒適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新細明體"/>
          <w:b w:val="0"/>
          <w:sz w:val="24"/>
        </w:rPr>
        <w:t>為加強優質人行的觀念，使道路能便利居民生活、遊客休憩，同時保障輪椅族群及視障人士用路權，配合無障礙環境之推動，本所依內政部國土管理署「永續提升人行安全計畫」提出民眾參與提案計畫（路段人行環境改善，案件類型A），辦理「淡水區新市三路二段周邊人行道改善工程」，檢討及改善上述路段通行空間條件，提供安全、連續、友善之通行環境。</w:t>
      </w:r>
    </w:p>
    <w:p>
      <w:pPr>
        <w:keepNext/>
        <w:spacing w:line="360" w:lineRule="auto" w:before="200" w:after="80"/>
        <w:jc w:val="both"/>
      </w:pPr>
      <w:r>
        <w:rPr>
          <w:rFonts w:ascii="Times New Roman" w:hAnsi="Times New Roman" w:eastAsia="標楷體"/>
          <w:b/>
          <w:sz w:val="28"/>
        </w:rPr>
        <w:t>1.2 計畫目標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(1).加強行的安全：全面更新老舊人行道鋪面、緣石及溝蓋，明確區分人行空間、自行車道與設施帶，提供平整、連續之人行通行空間。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(2).落實人本及綠色運輸：調整車道寬度（最外側車道4.5M縮減為3.5M、內側車道3.5M縮減為3.0M），增設中央綠帶，並於人行道內新設自行車道，串聯周邊道路已完成之自行車道系統。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(3).加強優質人行的觀念：路口轉角人行空間擴大、縮短行穿線長度，設置符合規範之路緣斜坡道、導盲警示帶，阻礙通行之公共及私有設施配合遷移….等，便利高齡者及行動不便者通行。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(4).營造永續綠色街道：既有喬木保留，樹穴型植栽改為連續綠帶並鋪植草皮，人行道採用再生粒料高壓混凝土地磚、路面採用再生瀝青混凝土，並預埋共同纜線管道，減少日後重複挖掘。</w:t>
      </w:r>
    </w:p>
    <w:p>
      <w:pPr>
        <w:keepNext/>
        <w:spacing w:line="360" w:lineRule="auto" w:before="200" w:after="80"/>
        <w:jc w:val="both"/>
      </w:pPr>
      <w:r>
        <w:rPr>
          <w:rFonts w:ascii="Times New Roman" w:hAnsi="Times New Roman" w:eastAsia="標楷體"/>
          <w:b/>
          <w:sz w:val="28"/>
        </w:rPr>
        <w:t>1.3 計畫範圍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新細明體"/>
          <w:b w:val="0"/>
          <w:sz w:val="24"/>
        </w:rPr>
        <w:t>本計畫經114年8月18日於國土管理署簡報輔導後，依輔導意見調整改善範圍；因新市五路三段、義山路二段、新市二路三段及沙崙路二段現況已有完善之人行道，故改善範圍為新市三路二段及崁頂二路。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新細明體"/>
          <w:b w:val="0"/>
          <w:sz w:val="24"/>
        </w:rPr>
        <w:t>本計畫包含新市三路二段（起義山路二段，迄沙崙路二段，里程A0K+000～A0K+601.4）全長約601M，及崁頂二路（起新市二路三段，迄新市五路三段，里程B0K+000～B0K+236.2、C0K+000～C0K+239）全長約475M，合計約1,076M，均為30M計畫道路，雙側人行道改善。詳下圖1.1。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44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0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圖1.1 計畫範圍圖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新細明體"/>
          <w:b w:val="0"/>
          <w:sz w:val="24"/>
        </w:rPr>
        <w:t>土地權屬：本計畫位於淡水區新市段158、140、150、146地號，地籍查詢結果顯示範圍內皆為道路用地，無私人土地問題。土地分佈如下圖1.2。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7568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0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56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圖1.2 土地權屬分佈圖</w:t>
      </w:r>
    </w:p>
    <w:p>
      <w:pPr>
        <w:sectPr>
          <w:headerReference w:type="default" r:id="rId13"/>
          <w:footerReference w:type="default" r:id="rId14"/>
          <w:pgSz w:w="11906" w:h="16838"/>
          <w:pgMar w:top="1474" w:right="1247" w:bottom="1247" w:left="1417" w:header="567" w:footer="567" w:gutter="0"/>
          <w:cols w:space="720"/>
          <w:docGrid w:linePitch="360"/>
          <w:pgNumType w:fmt="decimal" w:start="1"/>
        </w:sectPr>
      </w:pPr>
    </w:p>
    <w:p>
      <w:pPr>
        <w:keepNext/>
        <w:spacing w:line="360" w:lineRule="auto" w:before="0" w:after="200"/>
        <w:jc w:val="center"/>
      </w:pPr>
      <w:r>
        <w:rPr>
          <w:rFonts w:ascii="Times New Roman" w:hAnsi="Times New Roman" w:eastAsia="標楷體"/>
          <w:b/>
          <w:sz w:val="36"/>
        </w:rPr>
        <w:t>第二章 背景環境資料</w:t>
      </w:r>
    </w:p>
    <w:p>
      <w:pPr>
        <w:keepNext/>
        <w:spacing w:line="360" w:lineRule="auto" w:before="200" w:after="80"/>
        <w:jc w:val="both"/>
      </w:pPr>
      <w:r>
        <w:rPr>
          <w:rFonts w:ascii="Times New Roman" w:hAnsi="Times New Roman" w:eastAsia="標楷體"/>
          <w:b/>
          <w:sz w:val="28"/>
        </w:rPr>
        <w:t>2.1 工區現況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新細明體"/>
          <w:b w:val="0"/>
          <w:sz w:val="24"/>
        </w:rPr>
        <w:t>本公司實地勘查本工區現況，以期能確實解決問題，並能如質、如期的完成本工程。</w:t>
      </w:r>
    </w:p>
    <w:p>
      <w:pPr>
        <w:keepNext/>
        <w:spacing w:line="360" w:lineRule="auto" w:before="160" w:after="40"/>
        <w:jc w:val="both"/>
      </w:pPr>
      <w:r>
        <w:rPr>
          <w:rFonts w:ascii="Times New Roman" w:hAnsi="Times New Roman" w:eastAsia="標楷體"/>
          <w:b/>
          <w:color w:val="008000"/>
          <w:sz w:val="26"/>
        </w:rPr>
        <w:t>2.1.1 施作基地及鄰近土地使用及活動情形</w:t>
      </w:r>
    </w:p>
    <w:p>
      <w:pPr>
        <w:spacing w:line="360" w:lineRule="auto" w:before="0" w:after="0"/>
        <w:ind w:left="283" w:hanging="340"/>
        <w:jc w:val="both"/>
      </w:pPr>
      <w:r>
        <w:rPr>
          <w:rFonts w:ascii="Times New Roman" w:hAnsi="Times New Roman" w:eastAsia="新細明體"/>
          <w:b w:val="0"/>
          <w:sz w:val="24"/>
        </w:rPr>
        <w:t>●　本計畫位於淡海新市鎮範圍內，計畫範圍周邊之新市五路三段、新市二路三段、沙崙路二段及義山路二段已設有完整之人行道及自行車道。</w:t>
      </w:r>
    </w:p>
    <w:p>
      <w:pPr>
        <w:spacing w:line="360" w:lineRule="auto" w:before="0" w:after="0"/>
        <w:ind w:left="283" w:hanging="340"/>
        <w:jc w:val="both"/>
      </w:pPr>
      <w:r>
        <w:rPr>
          <w:rFonts w:ascii="Times New Roman" w:hAnsi="Times New Roman" w:eastAsia="新細明體"/>
          <w:b w:val="0"/>
          <w:sz w:val="24"/>
        </w:rPr>
        <w:t>●　新市三路二段為30公尺計畫道路，為社區通往淡海輕軌站之主要道路，沿線社區林立，人行需求高。</w:t>
      </w:r>
    </w:p>
    <w:p>
      <w:pPr>
        <w:spacing w:line="360" w:lineRule="auto" w:before="0" w:after="0"/>
        <w:ind w:left="283" w:hanging="340"/>
        <w:jc w:val="both"/>
      </w:pPr>
      <w:r>
        <w:rPr>
          <w:rFonts w:ascii="Times New Roman" w:hAnsi="Times New Roman" w:eastAsia="新細明體"/>
          <w:b w:val="0"/>
          <w:sz w:val="24"/>
        </w:rPr>
        <w:t>●　崁頂二路為30公尺計畫道路，貫穿新市三路二段，銜接新市五路三段與新市二路三段。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185355" cy="611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roun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5355" cy="61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圖2.1 計畫範圍周邊道路現況</w:t>
      </w:r>
    </w:p>
    <w:p>
      <w:pPr>
        <w:spacing w:line="360" w:lineRule="auto" w:before="0" w:after="0"/>
        <w:ind w:left="283" w:hanging="340"/>
        <w:jc w:val="both"/>
      </w:pPr>
      <w:r>
        <w:rPr>
          <w:rFonts w:ascii="Times New Roman" w:hAnsi="Times New Roman" w:eastAsia="新細明體"/>
          <w:b w:val="0"/>
          <w:sz w:val="24"/>
        </w:rPr>
        <w:t>●　周圍有多處淡水知名景點（水管公園、沙崙海水浴場、漁人碼頭、紅毛城等）。</w:t>
      </w:r>
    </w:p>
    <w:p>
      <w:pPr>
        <w:spacing w:line="360" w:lineRule="auto" w:before="0" w:after="0"/>
        <w:ind w:left="283" w:hanging="340"/>
        <w:jc w:val="both"/>
      </w:pPr>
      <w:r>
        <w:rPr>
          <w:rFonts w:ascii="Times New Roman" w:hAnsi="Times New Roman" w:eastAsia="新細明體"/>
          <w:b w:val="0"/>
          <w:sz w:val="24"/>
        </w:rPr>
        <w:t>●　鄰近天生國小、台北海洋科技大學、淡海輕軌綠山線及輕軌公園。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67134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marks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713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圖2.2 周邊景點及設施</w:t>
      </w:r>
    </w:p>
    <w:p>
      <w:pPr>
        <w:keepNext/>
        <w:spacing w:line="360" w:lineRule="auto" w:before="160" w:after="40"/>
        <w:jc w:val="both"/>
      </w:pPr>
      <w:r>
        <w:rPr>
          <w:rFonts w:ascii="Times New Roman" w:hAnsi="Times New Roman" w:eastAsia="標楷體"/>
          <w:b/>
          <w:color w:val="008000"/>
          <w:sz w:val="26"/>
        </w:rPr>
        <w:t>2.1.2 停車需求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新細明體"/>
          <w:b w:val="0"/>
          <w:sz w:val="24"/>
        </w:rPr>
        <w:t>現況新市三路二段及崁頂二路兩側路邊畫設有汽、機車停車格。本計畫完工後，將依當地民眾需求及交通局評估重新配置，汽車格及身障停車格維持既有數量以上，並因應淡水區人口成長增加機車停車格，現況與改善後數量如下表2.1。</w:t>
      </w:r>
    </w:p>
    <w:p>
      <w:pPr>
        <w:keepNext/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表2.1 停車格位及喬木數量對照表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2835"/>
        <w:gridCol w:w="1474"/>
        <w:gridCol w:w="1474"/>
        <w:gridCol w:w="2041"/>
      </w:tblGrid>
      <w:tr>
        <w:trPr>
          <w:cantSplit/>
          <w:tblHeader/>
        </w:trPr>
        <w:tc>
          <w:tcPr>
            <w:tcW w:type="dxa" w:w="850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項次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項目</w:t>
            </w:r>
          </w:p>
        </w:tc>
        <w:tc>
          <w:tcPr>
            <w:tcW w:type="dxa" w:w="1474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現況數量</w:t>
            </w:r>
          </w:p>
        </w:tc>
        <w:tc>
          <w:tcPr>
            <w:tcW w:type="dxa" w:w="1474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改善後數量</w:t>
            </w:r>
          </w:p>
        </w:tc>
        <w:tc>
          <w:tcPr>
            <w:tcW w:type="dxa" w:w="2041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備註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喬木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234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234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既有喬木保留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汽車格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102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106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+4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智慧化／貨車裝卸格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4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維持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身障汽車格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維持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機車格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86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163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+77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身障機車格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+1</w:t>
            </w:r>
          </w:p>
        </w:tc>
      </w:tr>
    </w:tbl>
    <w:p>
      <w:pPr>
        <w:spacing w:line="360" w:lineRule="auto" w:before="40" w:after="0"/>
        <w:jc w:val="both"/>
      </w:pPr>
      <w:r>
        <w:rPr>
          <w:rFonts w:ascii="Times New Roman" w:hAnsi="Times New Roman" w:eastAsia="新細明體"/>
          <w:b w:val="0"/>
          <w:sz w:val="20"/>
        </w:rPr>
        <w:t>資料來源：基本設計圖C-01施工範圍圖。</w:t>
      </w:r>
    </w:p>
    <w:p>
      <w:pPr>
        <w:keepNext/>
        <w:spacing w:line="360" w:lineRule="auto" w:before="160" w:after="40"/>
        <w:jc w:val="both"/>
      </w:pPr>
      <w:r>
        <w:rPr>
          <w:rFonts w:ascii="Times New Roman" w:hAnsi="Times New Roman" w:eastAsia="標楷體"/>
          <w:b/>
          <w:color w:val="008000"/>
          <w:sz w:val="26"/>
        </w:rPr>
        <w:t>2.1.3 工區現況照片與問題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新細明體"/>
          <w:b w:val="0"/>
          <w:sz w:val="24"/>
        </w:rPr>
        <w:t>本工程改善範圍為淡水區新市三路二段及崁頂二路兩側人行道，工區現況照片如圖2.3～圖2.6所示，現況問題歸納如下：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(1).人行道鋪面老舊、破損不平整，緣石及溝蓋老舊，影響行人通行安全。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(2).人行道寬約6.3M，未明確區分設施帶與行人通行空間，街道設施及停車占用行人動線。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(3).現況未設置自行車道，與周邊道路已完成之自行車道系統未能串聯。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(4).最外側車道寬4.5M（含路邊汽機車停車格），車道偏寬，易造成車速過快。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(5).植栽為樹穴型式，綠化不連續；部分路口路緣斜坡道及導盲設施未符合現行規範。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661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28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6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圖2.3 新市三路二段現況照片(1/2)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879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3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圖2.4 新市三路二段現況照片(2/2)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268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32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2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圖2.5 崁頂二路現況照片(1/2)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531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3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3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圖2.6 崁頂二路現況照片(2/2)</w:t>
      </w:r>
    </w:p>
    <w:p>
      <w:pPr>
        <w:keepNext/>
        <w:spacing w:line="360" w:lineRule="auto" w:before="0" w:after="0"/>
        <w:ind w:firstLine="480"/>
        <w:jc w:val="both"/>
      </w:pPr>
      <w:r>
        <w:rPr>
          <w:rFonts w:ascii="Times New Roman" w:hAnsi="Times New Roman" w:eastAsia="新細明體"/>
          <w:b w:val="0"/>
          <w:sz w:val="24"/>
        </w:rPr>
        <w:t>現況道路斷面為：人行道6.3M＋水溝0.5M＋最外側車道4.5M（含汽機車停車格）＋汽車道3.5M×2＋最外側車道4.5M＋水溝0.5M＋人行道6.3M，路寬合計約29.6M，詳下圖2.7。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圖2.7 現況道路斷面配置圖</w:t>
      </w:r>
    </w:p>
    <w:p>
      <w:pPr>
        <w:sectPr>
          <w:headerReference w:type="default" r:id="rId17"/>
          <w:footerReference w:type="default" r:id="rId18"/>
          <w:pgSz w:w="11906" w:h="16838"/>
          <w:pgMar w:top="1474" w:right="1247" w:bottom="1247" w:left="1417" w:header="567" w:footer="567" w:gutter="0"/>
          <w:cols w:space="720"/>
          <w:docGrid w:linePitch="360"/>
          <w:pgNumType w:fmt="decimal"/>
        </w:sectPr>
      </w:pPr>
    </w:p>
    <w:p>
      <w:pPr>
        <w:keepNext/>
        <w:spacing w:line="360" w:lineRule="auto" w:before="0" w:after="200"/>
        <w:jc w:val="center"/>
      </w:pPr>
      <w:r>
        <w:rPr>
          <w:rFonts w:ascii="Times New Roman" w:hAnsi="Times New Roman" w:eastAsia="標楷體"/>
          <w:b/>
          <w:sz w:val="36"/>
        </w:rPr>
        <w:t>第三章 基本設計</w:t>
      </w:r>
    </w:p>
    <w:p>
      <w:pPr>
        <w:keepNext/>
        <w:spacing w:line="360" w:lineRule="auto" w:before="200" w:after="80"/>
        <w:jc w:val="both"/>
      </w:pPr>
      <w:r>
        <w:rPr>
          <w:rFonts w:ascii="Times New Roman" w:hAnsi="Times New Roman" w:eastAsia="標楷體"/>
          <w:b/>
          <w:sz w:val="28"/>
        </w:rPr>
        <w:t>3.1 設計構想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新細明體"/>
          <w:b w:val="0"/>
          <w:sz w:val="24"/>
        </w:rPr>
        <w:t>本計畫主要為淡水區新市三路二段及崁頂二路兩側人行道改善工程，於原道路路權範圍內重新分配斷面，依各路段特性加以規劃，設計構想說明如下：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(1).人行道重新配置：人行道寬度由約6.3M調整為7.0～7.9M，自車道側起依序為設施帶／綠帶（2.0M，含排水溝及路邊停車）、自行車道（1.5M）、綠帶／街道家具帶（1.0～1.5M）及人行空間（2.0～2.9M）。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(2).車道調整：最外側車道由4.5M縮減為3.0～3.5M、汽車道由3.5M縮減為3.0M，新設2.7M中央綠帶；路口前依需求設置左轉車道，維持既有雙向4車道。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(3).鋪面、緣石及溝蓋全面更新：人行空間採高壓混凝土地磚（再生粒料），自行車道採瀝青混凝土壓花地坪，路口轉角採壓花地坪，車行斜坡道採混凝土止滑刻痕處理。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(4).排水改善：新設排水管溝（外排水溝採鍍鋅格柵蓋板），內排水溝拆除更新並採化妝蓋板，避免阻礙行人通行。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(5).預埋共同纜線管道：人行道施工中預埋4-3"PVC管及手孔，供後續管線下地使用。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(6).植栽改善：既有喬木保留，樹穴型植栽調整為連續綠帶並鋪植草皮，設置導根板及更新喬木支撐架。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(7).無障礙設施：路口設置符合規範之路緣斜坡道、警示帶，轉角人行空間擴大以縮短行穿線長度，提供安全停等空間。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(8).停車管理：完工後依當地需求重新配置汽、機車停車格（詳表2.1），並保留UBIKE站及貨車裝卸格。</w:t>
      </w:r>
    </w:p>
    <w:p>
      <w:pPr>
        <w:keepNext/>
        <w:spacing w:line="360" w:lineRule="auto" w:before="160" w:after="40"/>
        <w:jc w:val="both"/>
      </w:pPr>
      <w:r>
        <w:rPr>
          <w:rFonts w:ascii="Times New Roman" w:hAnsi="Times New Roman" w:eastAsia="標楷體"/>
          <w:b/>
          <w:color w:val="008000"/>
          <w:sz w:val="26"/>
        </w:rPr>
        <w:t>3.1.1 平面配置圖</w:t>
      </w:r>
    </w:p>
    <w:p>
      <w:pPr>
        <w:keepNext/>
        <w:spacing w:line="360" w:lineRule="auto" w:before="0" w:after="0"/>
        <w:ind w:firstLine="480"/>
        <w:jc w:val="both"/>
      </w:pPr>
      <w:r>
        <w:rPr>
          <w:rFonts w:ascii="Times New Roman" w:hAnsi="Times New Roman" w:eastAsia="新細明體"/>
          <w:b w:val="0"/>
          <w:sz w:val="24"/>
        </w:rPr>
        <w:t>本計畫平面配置總圖如圖3.1，各段平面配置詳圖3.2～圖3.11。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566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56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圖3.1 平面配置總圖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eastAsia="新細明體"/>
          <w:b/>
          <w:sz w:val="24"/>
        </w:rPr>
        <w:t>(一)新市三路二段（A0K+000～A0K+601.4）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(1).人行道重新配置為設施帶／綠帶2.0M、自行車道1.5M、綠帶／街道家具帶1.5M及人行空間2.15～2.9M，改善後人行道寬7.15～7.9M。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(2).最外側車道縮減為3.5M、汽車道縮減為3.0M，新設2.7M中央綠帶；新市三路二段與崁頂二路路口前設置左轉車道。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(3).人行道鋪面、緣石及溝蓋全面更新，車行出入口設置車行斜坡道。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(4).提供設施帶，將阻礙行人通行之公共或私有設施於施工中協調遷移改善。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(5).人行道施工中預埋共同纜線管道。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(6).不符合規範及現今觀念之無障礙設施改善，設置無障礙通路（包含路緣斜坡、無障礙坡道及警示帶等導盲設施）。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(7).停車管理，施作完成後重新配置汽、機車停車格，保留A0K+100附近UBIKE站及貨車裝卸格。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5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圖3.2 平面配置圖(1)（A0K+000～A0K+080）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5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圖3.3 平面配置圖(2)（A0K+080～A0K+200）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5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圖3.4 平面配置圖(3)（A0K+200～A0K+300）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5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圖3.5 平面配置圖(4)（A0K+300～A0K+420）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5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圖3.6 平面配置圖(5)（A0K+420～A0K+540）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5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圖3.7 平面配置圖(6)（A0K+540～A0K+601.4）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eastAsia="新細明體"/>
          <w:b/>
          <w:sz w:val="24"/>
        </w:rPr>
        <w:t>(二)崁頂二路（B0K+000～B0K+236.2、C0K+000～C0K+239）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(1).人行道重新配置為設施帶／綠帶2.0M、自行車道1.5M、綠帶／街道家具帶1.0～1.5M及人行空間2.0～2.5M，改善後人行道寬約7.0～7.2M。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(2).車道寬度調整，最外側車道3.0～3.5M、汽車道3.0M，新設中央綠帶；路口前設置左轉車道。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(3).人行道鋪面、緣石及溝蓋全面更新，配合周邊道路已完成之自行車道系統，增設自行車道。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(4).提供設施帶，將阻礙行人通行之公共或私有設施於施工中協調遷移改善，C0K+100附近預留救災空間。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(5).人行道施工中預埋共同纜線管道。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(6).不符合規範及現今觀念之無障礙設施改善，設置無障礙通路（包含路緣斜坡、無障礙坡道及警示帶等導盲設施）。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(7).停車管理，施作完成後重新配置汽、機車停車格。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5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圖3.8 平面配置圖(7)（B0K+000～B0K+100）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5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圖3.9 平面配置圖(8)（B0K+100～B0K+236.2）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5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圖3.10 平面配置圖(10)（C0K+000～C0K+140）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5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圖3.11 平面配置圖(9)（C0K+140～C0K+239）</w:t>
      </w:r>
    </w:p>
    <w:p>
      <w:pPr>
        <w:keepNext/>
        <w:spacing w:line="360" w:lineRule="auto" w:before="160" w:after="40"/>
        <w:jc w:val="both"/>
      </w:pPr>
      <w:r>
        <w:rPr>
          <w:rFonts w:ascii="Times New Roman" w:hAnsi="Times New Roman" w:eastAsia="標楷體"/>
          <w:b/>
          <w:color w:val="008000"/>
          <w:sz w:val="26"/>
        </w:rPr>
        <w:t>3.1.2 斷面圖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新細明體"/>
          <w:b w:val="0"/>
          <w:sz w:val="24"/>
        </w:rPr>
        <w:t>各代表斷面改善前後配置如下表3.1及圖3.12～圖3.15（單位：M）。</w:t>
      </w:r>
    </w:p>
    <w:p>
      <w:pPr>
        <w:keepNext/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表3.1 道路斷面配置對照表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850"/>
        <w:gridCol w:w="1928"/>
        <w:gridCol w:w="2835"/>
        <w:gridCol w:w="1928"/>
      </w:tblGrid>
      <w:tr>
        <w:trPr>
          <w:cantSplit/>
          <w:tblHeader/>
        </w:trPr>
        <w:tc>
          <w:tcPr>
            <w:tcW w:type="dxa" w:w="1587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9"/>
              </w:rPr>
              <w:t>斷面</w:t>
            </w:r>
          </w:p>
        </w:tc>
        <w:tc>
          <w:tcPr>
            <w:tcW w:type="dxa" w:w="850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9"/>
              </w:rPr>
              <w:t>路寬</w:t>
            </w:r>
          </w:p>
        </w:tc>
        <w:tc>
          <w:tcPr>
            <w:tcW w:type="dxa" w:w="1928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9"/>
              </w:rPr>
              <w:t>人行道（左）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9"/>
              </w:rPr>
              <w:t>車道配置</w:t>
            </w:r>
          </w:p>
        </w:tc>
        <w:tc>
          <w:tcPr>
            <w:tcW w:type="dxa" w:w="1928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9"/>
              </w:rPr>
              <w:t>人行道（右）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現況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29.6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6.3＋水溝0.5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4.5＋3.5＋3.5＋4.5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水溝0.5＋6.3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新市三路二段</w:t>
              <w:br/>
              <w:t>A0K+100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30.75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7.15</w:t>
              <w:br/>
              <w:t>(2.15/1.5/1.5/2.0)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3.5＋3.0＋中央綠帶2.7＋3.0＋3.5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7.9</w:t>
              <w:br/>
              <w:t>(2.0/1.5/1.5/2.9)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新市三路二段</w:t>
              <w:br/>
              <w:t>A0K+500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30.0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7.15</w:t>
              <w:br/>
              <w:t>(2.15/1.5/1.5/2.0)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3.5＋3.0＋中央綠帶2.7＋3.0＋3.5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7.15</w:t>
              <w:br/>
              <w:t>(2.0/1.5/1.5/2.15)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崁頂二路</w:t>
              <w:br/>
              <w:t>B0K+020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29.7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7.0</w:t>
              <w:br/>
              <w:t>(2.5/1.0/1.5/2.0)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3.0＋3.0＋中央綠帶1.0＋左轉2.7＋3.0＋3.0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7.0</w:t>
              <w:br/>
              <w:t>(2.0/1.5/1.5/2.0)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崁頂二路</w:t>
              <w:br/>
              <w:t>C0K+070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30.04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7.19</w:t>
              <w:br/>
              <w:t>(2.15/1.5/1.54/2.04)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3.5＋3.0＋中央綠帶2.7＋3.0＋3.5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7.15</w:t>
              <w:br/>
              <w:t>(2.0/1.5/1.15/2.5)</w:t>
            </w:r>
          </w:p>
        </w:tc>
      </w:tr>
    </w:tbl>
    <w:p>
      <w:pPr>
        <w:spacing w:line="360" w:lineRule="auto" w:before="40" w:after="0"/>
        <w:jc w:val="both"/>
      </w:pPr>
      <w:r>
        <w:rPr>
          <w:rFonts w:ascii="Times New Roman" w:hAnsi="Times New Roman" w:eastAsia="新細明體"/>
          <w:b w:val="0"/>
          <w:sz w:val="20"/>
        </w:rPr>
        <w:t>註：人行道括號內由外而內依序為人行空間／綠帶（街道家具）／自行車道／設施帶（綠帶），右側則由車道側向外排列。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eastAsia="新細明體"/>
          <w:b/>
          <w:sz w:val="24"/>
        </w:rPr>
        <w:t>(一)新市三路二段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(1).最外側車道由4.5M縮減為3.5M，汽車道由3.5M縮減為3.0M，新設2.7M中央綠帶。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(2).人行道由6.3M加寬為7.15～7.9M，設置設施帶／綠帶、自行車道、綠帶／街道家具帶及人行空間。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(3).新設外排水溝（鍍鋅格柵蓋板），內排水溝拆除更新（化妝溝蓋板）；人行道下預埋4-3"PVC管。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5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圖3.12 新市三路二段道路斷面配置圖（A0K+100）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50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圖3.13 新市三路二段道路斷面配置圖（A0K+500）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eastAsia="新細明體"/>
          <w:b/>
          <w:sz w:val="24"/>
        </w:rPr>
        <w:t>(二)崁頂二路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(1).車道寬度調整並新設中央綠帶，路口前設置2.7M左轉車道。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(2).人行道加寬為7.0～7.2M，設置設施帶／綠帶、自行車道、綠帶／街道家具帶及人行空間。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(3).新設外排水溝（鍍鋅格柵蓋板），內排水溝更新（化妝溝蓋板）；人行道下預埋4-3"PVC管。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50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圖3.14 崁頂二路道路斷面配置圖（B0K+020）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50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圖3.15 崁頂二路道路斷面配置圖（C0K+070）</w:t>
      </w:r>
    </w:p>
    <w:p>
      <w:pPr>
        <w:keepNext/>
        <w:spacing w:line="360" w:lineRule="auto" w:before="160" w:after="40"/>
        <w:jc w:val="both"/>
      </w:pPr>
      <w:r>
        <w:rPr>
          <w:rFonts w:ascii="Times New Roman" w:hAnsi="Times New Roman" w:eastAsia="標楷體"/>
          <w:b/>
          <w:color w:val="008000"/>
          <w:sz w:val="26"/>
        </w:rPr>
        <w:t>3.1.3 路口改善平面圖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新細明體"/>
          <w:b w:val="0"/>
          <w:sz w:val="24"/>
        </w:rPr>
        <w:t>本計畫路口改善共5處，改善原則如下：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(1).路口轉角人行道擴大（壓花地坪），縮短行穿線長度，提供行人安全停等空間。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(2).行穿線對齊無障礙坡道，路緣斜坡道坡度依規範設置，並設置警示帶。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(3).轉角設置轉角綠帶，中央綠帶端頭配合行穿線退縮，路口前設置左轉車道及重新繪設標線。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(4).不符合規範及現今觀念之無障礙設施改善，設置無障礙通路（包含路緣斜坡、無障礙坡道及警示帶等導盲設施）。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839382" cy="413999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39382" cy="41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圖3.16 新市三路二段／崁頂二路路口改善平面圖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3912646" cy="41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12646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圖3.17 新市三路二段／義山路二段路口改善平面圖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403838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038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圖3.18 新市三路二段／沙崙路二段路口改善平面圖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269916" cy="41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69916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圖3.19 崁頂二路／新市二路三段路口改善平面圖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269916" cy="41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5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69916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圖3.20 崁頂二路／新市五路三段路口改善平面圖</w:t>
      </w:r>
    </w:p>
    <w:p>
      <w:pPr>
        <w:keepNext/>
        <w:spacing w:line="360" w:lineRule="auto" w:before="200" w:after="80"/>
        <w:jc w:val="both"/>
      </w:pPr>
      <w:r>
        <w:rPr>
          <w:rFonts w:ascii="Times New Roman" w:hAnsi="Times New Roman" w:eastAsia="標楷體"/>
          <w:b/>
          <w:sz w:val="28"/>
        </w:rPr>
        <w:t>3.2 細部設計原則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新細明體"/>
          <w:b w:val="0"/>
          <w:sz w:val="24"/>
        </w:rPr>
        <w:t>基本配置已於前節說明，其他構想如下：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eastAsia="新細明體"/>
          <w:b/>
          <w:sz w:val="24"/>
        </w:rPr>
        <w:t>1.鋪面及配色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新細明體"/>
          <w:b w:val="0"/>
          <w:sz w:val="24"/>
        </w:rPr>
        <w:t>不採用強烈對比色彩，以避免對人行產生視覺負擔，並配合周邊已完成之新市鎮道路鋪面，各空間鋪面材料如下表3.2，以不同材質及顏色區分人行空間、自行車道及設施帶，亦可作為導盲分辨之用。</w:t>
      </w:r>
    </w:p>
    <w:p>
      <w:pPr>
        <w:keepNext/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表3.2 鋪面材料配置表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855"/>
        <w:gridCol w:w="3402"/>
      </w:tblGrid>
      <w:tr>
        <w:trPr>
          <w:cantSplit/>
          <w:tblHeader/>
        </w:trPr>
        <w:tc>
          <w:tcPr>
            <w:tcW w:type="dxa" w:w="1701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空間</w:t>
            </w:r>
          </w:p>
        </w:tc>
        <w:tc>
          <w:tcPr>
            <w:tcW w:type="dxa" w:w="3855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鋪面材料</w:t>
            </w:r>
          </w:p>
        </w:tc>
        <w:tc>
          <w:tcPr>
            <w:tcW w:type="dxa" w:w="3402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人行空間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高壓混凝土地磚（C級人行道用，厚60mm，再生粒料）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平整、防滑，採用焚化底渣再生粒料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自行車道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瀝青混凝土壓花地坪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以顏色與人行空間區隔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路口轉角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人行道面層噴花地坪（乾式PC紙模）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轉角擴大之停等空間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車行斜坡道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結構用混凝土＋止滑刻痕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銲接鋼線網補強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設施帶／綠帶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鋪植草皮（假儉草）、客土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連續綠帶，喬木設導根板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警示帶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警示帶／定位點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設於無障礙坡道及路口</w:t>
            </w:r>
          </w:p>
        </w:tc>
      </w:tr>
    </w:tbl>
    <w:p>
      <w:pPr>
        <w:keepNext/>
        <w:spacing w:line="360" w:lineRule="auto" w:before="120" w:after="0"/>
        <w:jc w:val="both"/>
      </w:pPr>
      <w:r>
        <w:rPr>
          <w:rFonts w:ascii="Times New Roman" w:hAnsi="Times New Roman" w:eastAsia="新細明體"/>
          <w:b/>
          <w:sz w:val="24"/>
        </w:rPr>
        <w:t>2.無障礙坡道作法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新細明體"/>
          <w:b w:val="0"/>
          <w:sz w:val="24"/>
        </w:rPr>
        <w:t>(1)人行動線高差務必設無障礙坡道、(2)坡道坡度小於1/12（漸變緣石長需足夠）、(3)人行動線溝蓋應採化妝式、(4)各向行穿線均需對至坡道、(5)中間段梯型坡道改碗公型或契型、(6)採屏障式緣石、(7)配有導盲警示帶與定位磚。詳圖3.21～圖3.26（均依據內政部最新頒佈規定辦理）。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249102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eA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91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圖3.21 無障礙坡道作法 TYPE A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37940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eB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7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圖3.22 無障礙坡道作法 TYPE B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299918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eC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99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圖3.23 無障礙坡道作法 TYPE C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20173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eC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01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圖3.24 無障礙坡道作法 TYPE C'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5603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e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56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圖3.25 無障礙坡道作法 TYPE D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271134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e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1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圖3.26 無障礙坡道作法 TYPE E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eastAsia="新細明體"/>
          <w:b/>
          <w:sz w:val="24"/>
        </w:rPr>
        <w:t>3.排水及溝蓋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新細明體"/>
          <w:b w:val="0"/>
          <w:sz w:val="24"/>
        </w:rPr>
        <w:t>沿車道側新設排水管溝（含開挖、回填），採鍍鋅格柵板及框座；人行道內排水溝拆除更新，溝蓋採化妝蓋板，避免格柵孔隙造成輪椅、拐杖及高跟鞋卡陷。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eastAsia="新細明體"/>
          <w:b/>
          <w:sz w:val="24"/>
        </w:rPr>
        <w:t>4.植栽及景觀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新細明體"/>
          <w:b w:val="0"/>
          <w:sz w:val="24"/>
        </w:rPr>
        <w:t>既有喬木（234株）原則保留，少數影響配置者辦理斷根及移植；樹穴型植栽調整為連續綠帶，鋪植假儉草並補充客土，設置導根板防止根系破壞鋪面，更新喬木支撐架；綠帶內設置街道家具及矮柱燈，提升夜間照明及休憩品質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eastAsia="新細明體"/>
          <w:b/>
          <w:sz w:val="24"/>
        </w:rPr>
        <w:t>5.管線預埋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新細明體"/>
          <w:b w:val="0"/>
          <w:sz w:val="24"/>
        </w:rPr>
        <w:t>人行道施工中預埋導線管（硬質PVC E管75mm）、手孔及引上管，並鋪設平面式塑膠警示帶，供後續電力、電信管線下地使用，減少日後重複挖掘。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eastAsia="新細明體"/>
          <w:b/>
          <w:sz w:val="24"/>
        </w:rPr>
        <w:t>6.設計依據規範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(1).內政部115年4月23日修正之「市區道路及附屬工程設計規範」。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(2).內政部110年8月11日修正之「市區道路及附屬工程設計標準」。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(3).交通部115年7月28日修正之「公路路線設計規範」。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(4).交通部「交通工程規範」。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(5).交通部114年6月30日修正之「道路交通標誌標線號誌設置規則」。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(6).內政部「建築物無障礙設施設計規範」。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(7).交通部「公路排水設計規範」。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(8).交通部101年5月9日修正之「公路附屬設施設置管理要點」。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 w:eastAsia="新細明體"/>
          <w:b w:val="0"/>
          <w:sz w:val="24"/>
        </w:rPr>
        <w:t>(9).其他相關中央法令、規範及新北市政府相關規定。</w:t>
      </w:r>
    </w:p>
    <w:p>
      <w:pPr>
        <w:sectPr>
          <w:headerReference w:type="default" r:id="rId26"/>
          <w:footerReference w:type="default" r:id="rId27"/>
          <w:pgSz w:w="11906" w:h="16838"/>
          <w:pgMar w:top="1474" w:right="1247" w:bottom="1247" w:left="1417" w:header="567" w:footer="567" w:gutter="0"/>
          <w:cols w:space="720"/>
          <w:docGrid w:linePitch="360"/>
          <w:pgNumType w:fmt="decimal"/>
        </w:sectPr>
      </w:pPr>
    </w:p>
    <w:p>
      <w:pPr>
        <w:keepNext/>
        <w:spacing w:line="360" w:lineRule="auto" w:before="0" w:after="200"/>
        <w:jc w:val="center"/>
      </w:pPr>
      <w:r>
        <w:rPr>
          <w:rFonts w:ascii="Times New Roman" w:hAnsi="Times New Roman" w:eastAsia="標楷體"/>
          <w:b/>
          <w:sz w:val="36"/>
        </w:rPr>
        <w:t>第四章 工程經費與工期</w:t>
      </w:r>
    </w:p>
    <w:p>
      <w:pPr>
        <w:keepNext/>
        <w:spacing w:line="360" w:lineRule="auto" w:before="200" w:after="80"/>
        <w:jc w:val="both"/>
      </w:pPr>
      <w:r>
        <w:rPr>
          <w:rFonts w:ascii="Times New Roman" w:hAnsi="Times New Roman" w:eastAsia="標楷體"/>
          <w:b/>
          <w:sz w:val="28"/>
        </w:rPr>
        <w:t>4.1 工程經費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新細明體"/>
          <w:b w:val="0"/>
          <w:sz w:val="24"/>
        </w:rPr>
        <w:t>本計畫直接工程費約76,194,743元，發包工程費為88,621,542元，總工程費約98,627,454元。詳表4.1～表4.3及附件一基本設計預算書圖。</w:t>
      </w:r>
    </w:p>
    <w:p>
      <w:pPr>
        <w:keepNext/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表4.1 工程經費概算表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3175"/>
        <w:gridCol w:w="1701"/>
        <w:gridCol w:w="3402"/>
      </w:tblGrid>
      <w:tr>
        <w:trPr>
          <w:cantSplit/>
          <w:tblHeader/>
        </w:trPr>
        <w:tc>
          <w:tcPr>
            <w:tcW w:type="dxa" w:w="737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項次</w:t>
            </w:r>
          </w:p>
        </w:tc>
        <w:tc>
          <w:tcPr>
            <w:tcW w:type="dxa" w:w="3175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工作項目</w:t>
            </w:r>
          </w:p>
        </w:tc>
        <w:tc>
          <w:tcPr>
            <w:tcW w:type="dxa" w:w="1701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金額(元)</w:t>
            </w:r>
          </w:p>
        </w:tc>
        <w:tc>
          <w:tcPr>
            <w:tcW w:type="dxa" w:w="3402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備註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color="auto" w:fill="F2F2F2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壹</w:t>
            </w:r>
          </w:p>
        </w:tc>
        <w:tc>
          <w:tcPr>
            <w:tcW w:type="dxa" w:w="3175"/>
            <w:vAlign w:val="center"/>
            <w:shd w:val="clear" w:color="auto" w:fill="F2F2F2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發包工程費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88,621,542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一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直接工程費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76,194,743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詳表4.2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二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間接工程費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7,982,253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詳表4.3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三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營業稅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4,208,850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四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空氣汙染費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235,696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發包工程費(不含營業稅)×0.28%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color="auto" w:fill="F2F2F2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貳</w:t>
            </w:r>
          </w:p>
        </w:tc>
        <w:tc>
          <w:tcPr>
            <w:tcW w:type="dxa" w:w="3175"/>
            <w:vAlign w:val="center"/>
            <w:shd w:val="clear" w:color="auto" w:fill="F2F2F2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主辦機關及委辦工作費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10,005,912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一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委託技術服務費用（折扣率96%）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8,068,369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建造費500萬以下部分×10.5%，超過500萬元至1,000萬元部分×10%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二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工程管理費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1,906,933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建造費500萬以下部分×3.5%，超過500萬元至2,500萬元部分×3%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三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二級品管檢／試驗費用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30,610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color="auto" w:fill="F2F2F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</w:r>
          </w:p>
        </w:tc>
        <w:tc>
          <w:tcPr>
            <w:tcW w:type="dxa" w:w="3175"/>
            <w:vAlign w:val="center"/>
            <w:shd w:val="clear" w:color="auto" w:fill="F2F2F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總價（總計）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98,627,454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</w:r>
          </w:p>
        </w:tc>
      </w:tr>
    </w:tbl>
    <w:p>
      <w:pPr>
        <w:spacing w:line="360" w:lineRule="auto" w:before="80" w:after="0"/>
        <w:jc w:val="both"/>
      </w:pPr>
      <w:r>
        <w:rPr>
          <w:rFonts w:ascii="Times New Roman" w:hAnsi="Times New Roman" w:eastAsia="新細明體"/>
          <w:b w:val="0"/>
          <w:sz w:val="24"/>
        </w:rPr>
        <w:t>本工程預算總額：新台幣玖仟捌佰陸拾貳萬柒仟肆佰伍拾肆元整。</w:t>
      </w:r>
    </w:p>
    <w:p>
      <w:pPr>
        <w:keepNext/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表4.2 直接工程費分項表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608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737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項次</w:t>
            </w:r>
          </w:p>
        </w:tc>
        <w:tc>
          <w:tcPr>
            <w:tcW w:type="dxa" w:w="2608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工程項目</w:t>
            </w:r>
          </w:p>
        </w:tc>
        <w:tc>
          <w:tcPr>
            <w:tcW w:type="dxa" w:w="1871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工區一</w:t>
              <w:br/>
              <w:t>新市三路二段</w:t>
            </w:r>
          </w:p>
        </w:tc>
        <w:tc>
          <w:tcPr>
            <w:tcW w:type="dxa" w:w="1871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工區二</w:t>
              <w:br/>
              <w:t>崁頂二路</w:t>
            </w:r>
          </w:p>
        </w:tc>
        <w:tc>
          <w:tcPr>
            <w:tcW w:type="dxa" w:w="1871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合計(元)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1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假設工程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380,110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377,270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757,380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2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拆除及整備工程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3,784,800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3,597,840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7,382,640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3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人行道改善工程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28,271,400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23,616,838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51,888,238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4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路面改善工程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6,879,690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4,480,350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11,360,040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5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景觀工程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2,687,445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2,119,000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4,806,445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color="auto" w:fill="F2F2F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</w:r>
          </w:p>
        </w:tc>
        <w:tc>
          <w:tcPr>
            <w:tcW w:type="dxa" w:w="2608"/>
            <w:vAlign w:val="center"/>
            <w:shd w:val="clear" w:color="auto" w:fill="F2F2F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直接工程費小計</w:t>
            </w:r>
          </w:p>
        </w:tc>
        <w:tc>
          <w:tcPr>
            <w:tcW w:type="dxa" w:w="1871"/>
            <w:vAlign w:val="center"/>
            <w:shd w:val="clear" w:color="auto" w:fill="F2F2F2"/>
          </w:tcPr>
          <w:p>
            <w:pPr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42,003,445</w:t>
            </w:r>
          </w:p>
        </w:tc>
        <w:tc>
          <w:tcPr>
            <w:tcW w:type="dxa" w:w="1871"/>
            <w:vAlign w:val="center"/>
            <w:shd w:val="clear" w:color="auto" w:fill="F2F2F2"/>
          </w:tcPr>
          <w:p>
            <w:pPr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34,191,298</w:t>
            </w:r>
          </w:p>
        </w:tc>
        <w:tc>
          <w:tcPr>
            <w:tcW w:type="dxa" w:w="1871"/>
            <w:vAlign w:val="center"/>
            <w:shd w:val="clear" w:color="auto" w:fill="F2F2F2"/>
          </w:tcPr>
          <w:p>
            <w:pPr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76,194,743</w:t>
            </w:r>
          </w:p>
        </w:tc>
      </w:tr>
    </w:tbl>
    <w:p>
      <w:pPr>
        <w:keepNext/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表4.3 間接工程費明細表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4309"/>
        <w:gridCol w:w="1701"/>
        <w:gridCol w:w="2268"/>
      </w:tblGrid>
      <w:tr>
        <w:trPr>
          <w:cantSplit/>
          <w:tblHeader/>
        </w:trPr>
        <w:tc>
          <w:tcPr>
            <w:tcW w:type="dxa" w:w="737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項次</w:t>
            </w:r>
          </w:p>
        </w:tc>
        <w:tc>
          <w:tcPr>
            <w:tcW w:type="dxa" w:w="4309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工作項目</w:t>
            </w:r>
          </w:p>
        </w:tc>
        <w:tc>
          <w:tcPr>
            <w:tcW w:type="dxa" w:w="1701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金額(元)</w:t>
            </w:r>
          </w:p>
        </w:tc>
        <w:tc>
          <w:tcPr>
            <w:tcW w:type="dxa" w:w="2268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備註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(一)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營造綜合保險費（含雇主意外責任險附加保險）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617,177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(二)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檢試驗費用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61,220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(三)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職業安全衛生管理費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405,888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依實際量計算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(四)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環境清潔費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152,389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(五)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包商工地管理費、利潤及工程雜項費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5,683,632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(六)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工程品管費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  <w:t>1,061,947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color="auto" w:fill="F2F2F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</w:r>
          </w:p>
        </w:tc>
        <w:tc>
          <w:tcPr>
            <w:tcW w:type="dxa" w:w="4309"/>
            <w:vAlign w:val="center"/>
            <w:shd w:val="clear" w:color="auto" w:fill="F2F2F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間接工程費小計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  <w:t>7,982,253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/>
                <w:sz w:val="20"/>
              </w:rPr>
            </w:r>
          </w:p>
        </w:tc>
      </w:tr>
    </w:tbl>
    <w:p>
      <w:pPr>
        <w:keepNext/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表4.4 主要工程項目數量表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4082"/>
        <w:gridCol w:w="737"/>
        <w:gridCol w:w="1247"/>
        <w:gridCol w:w="1134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9"/>
              </w:rPr>
              <w:t>項次</w:t>
            </w:r>
          </w:p>
        </w:tc>
        <w:tc>
          <w:tcPr>
            <w:tcW w:type="dxa" w:w="4082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9"/>
              </w:rPr>
              <w:t>工程項目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9"/>
              </w:rPr>
              <w:t>單位</w:t>
            </w:r>
          </w:p>
        </w:tc>
        <w:tc>
          <w:tcPr>
            <w:tcW w:type="dxa" w:w="1247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9"/>
              </w:rPr>
              <w:t>新市三路二段</w:t>
            </w:r>
          </w:p>
        </w:tc>
        <w:tc>
          <w:tcPr>
            <w:tcW w:type="dxa" w:w="1134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9"/>
              </w:rPr>
              <w:t>崁頂二路</w:t>
            </w:r>
          </w:p>
        </w:tc>
        <w:tc>
          <w:tcPr>
            <w:tcW w:type="dxa" w:w="1134"/>
            <w:vAlign w:val="center"/>
            <w:shd w:val="clear" w:color="auto" w:fill="D9E2F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9"/>
              </w:rPr>
              <w:t>合計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1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結構物拆除（建築物以外之結構物拆除）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M3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830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789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1,619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2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排水管溝，含開挖、回填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M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1,203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951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2,154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3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高壓混凝土地磚（C級人行道用，厚60mm，再生粒料）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M2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1,504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1,188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2,692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4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人行道面層，噴花地坪（乾式PC紙模）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M2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150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100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250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5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瀝青混凝土壓花地坪（自行車道）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M2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815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801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1,616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6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鋼筋混凝土緣石，預鑄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M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401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317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718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7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鍍鋅格柵蓋板（化妝蓋板用）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KG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8,621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6,821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15,442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8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導線管，硬質PVC E管（標稱75mm）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M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2,406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1,901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4,307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9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地下配電管路，手孔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座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30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28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58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10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再生瀝青混凝土鋪面，粗粒料9.5mm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M3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476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309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785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11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標線，熱處理聚酯，反光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M2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1,134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742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1,876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12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植草，鋪植草皮，假儉草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M2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2,099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1,658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3,757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13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街道家具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組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30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25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55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14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矮柱燈（0.5m高以上）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盞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30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25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right"/>
            </w:pPr>
            <w:r/>
            <w:r>
              <w:rPr>
                <w:rFonts w:ascii="Times New Roman" w:hAnsi="Times New Roman" w:eastAsia="新細明體"/>
                <w:b w:val="0"/>
                <w:sz w:val="19"/>
              </w:rPr>
              <w:t>55</w:t>
            </w:r>
          </w:p>
        </w:tc>
      </w:tr>
    </w:tbl>
    <w:p>
      <w:pPr>
        <w:keepNext/>
        <w:spacing w:line="360" w:lineRule="auto" w:before="200" w:after="80"/>
        <w:jc w:val="both"/>
      </w:pPr>
      <w:r>
        <w:rPr>
          <w:rFonts w:ascii="Times New Roman" w:hAnsi="Times New Roman" w:eastAsia="標楷體"/>
          <w:b/>
          <w:sz w:val="28"/>
        </w:rPr>
        <w:t>4.2 施工工期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新細明體"/>
          <w:b w:val="0"/>
          <w:sz w:val="24"/>
        </w:rPr>
        <w:t>本工程分為工區一（新市三路二段）及工區二（崁頂二路）兩工區，採分區、分側施工以維持交通，工區二於工區一主要工項展開後接續施工。本計畫總工期估計為300日曆天，預定進度如圖4.1。</w:t>
      </w:r>
    </w:p>
    <w:p>
      <w:r>
        <w:br w:type="page"/>
      </w:r>
    </w:p>
    <w:p>
      <w:pPr>
        <w:keepNext/>
        <w:spacing w:line="360" w:lineRule="auto" w:before="80" w:after="0"/>
        <w:jc w:val="center"/>
      </w:pPr>
      <w:r>
        <w:rPr>
          <w:rFonts w:ascii="Times New Roman" w:hAnsi="Times New Roman" w:eastAsia="新細明體"/>
          <w:b/>
          <w:sz w:val="22"/>
        </w:rPr>
        <w:t>淡水區新市三路二段周邊人行道改善工程工程預定進度表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25"/>
        <w:gridCol w:w="2381"/>
        <w:gridCol w:w="624"/>
        <w:gridCol w:w="539"/>
        <w:gridCol w:w="539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cantSplit/>
        </w:trPr>
        <w:tc>
          <w:tcPr>
            <w:tcW w:type="dxa" w:w="425"/>
            <w:vAlign w:val="center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5"/>
              </w:rPr>
              <w:t>項次</w:t>
            </w:r>
          </w:p>
        </w:tc>
        <w:tc>
          <w:tcPr>
            <w:tcW w:type="dxa" w:w="2381"/>
            <w:vAlign w:val="center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5"/>
              </w:rPr>
              <w:t>工程項目</w:t>
            </w:r>
          </w:p>
        </w:tc>
        <w:tc>
          <w:tcPr>
            <w:tcW w:type="dxa" w:w="624"/>
            <w:vAlign w:val="center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5"/>
              </w:rPr>
              <w:t>數量</w:t>
            </w:r>
          </w:p>
        </w:tc>
        <w:tc>
          <w:tcPr>
            <w:tcW w:type="dxa" w:w="539"/>
            <w:vAlign w:val="center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5"/>
              </w:rPr>
              <w:t>單位</w:t>
            </w:r>
          </w:p>
        </w:tc>
        <w:tc>
          <w:tcPr>
            <w:tcW w:type="dxa" w:w="539"/>
            <w:vAlign w:val="center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5"/>
              </w:rPr>
              <w:t>天數</w:t>
            </w:r>
          </w:p>
        </w:tc>
        <w:tc>
          <w:tcPr>
            <w:tcW w:type="dxa" w:w="471"/>
            <w:vAlign w:val="center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5"/>
              </w:rPr>
              <w:t>30</w:t>
            </w:r>
          </w:p>
        </w:tc>
        <w:tc>
          <w:tcPr>
            <w:tcW w:type="dxa" w:w="471"/>
            <w:vAlign w:val="center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5"/>
              </w:rPr>
              <w:t>60</w:t>
            </w:r>
          </w:p>
        </w:tc>
        <w:tc>
          <w:tcPr>
            <w:tcW w:type="dxa" w:w="471"/>
            <w:vAlign w:val="center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5"/>
              </w:rPr>
              <w:t>90</w:t>
            </w:r>
          </w:p>
        </w:tc>
        <w:tc>
          <w:tcPr>
            <w:tcW w:type="dxa" w:w="471"/>
            <w:vAlign w:val="center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5"/>
              </w:rPr>
              <w:t>120</w:t>
            </w:r>
          </w:p>
        </w:tc>
        <w:tc>
          <w:tcPr>
            <w:tcW w:type="dxa" w:w="471"/>
            <w:vAlign w:val="center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5"/>
              </w:rPr>
              <w:t>150</w:t>
            </w:r>
          </w:p>
        </w:tc>
        <w:tc>
          <w:tcPr>
            <w:tcW w:type="dxa" w:w="471"/>
            <w:vAlign w:val="center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5"/>
              </w:rPr>
              <w:t>180</w:t>
            </w:r>
          </w:p>
        </w:tc>
        <w:tc>
          <w:tcPr>
            <w:tcW w:type="dxa" w:w="471"/>
            <w:vAlign w:val="center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5"/>
              </w:rPr>
              <w:t>210</w:t>
            </w:r>
          </w:p>
        </w:tc>
        <w:tc>
          <w:tcPr>
            <w:tcW w:type="dxa" w:w="471"/>
            <w:vAlign w:val="center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5"/>
              </w:rPr>
              <w:t>240</w:t>
            </w:r>
          </w:p>
        </w:tc>
        <w:tc>
          <w:tcPr>
            <w:tcW w:type="dxa" w:w="471"/>
            <w:vAlign w:val="center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5"/>
              </w:rPr>
              <w:t>270</w:t>
            </w:r>
          </w:p>
        </w:tc>
        <w:tc>
          <w:tcPr>
            <w:tcW w:type="dxa" w:w="471"/>
            <w:vAlign w:val="center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/>
                <w:sz w:val="15"/>
              </w:rPr>
              <w:t>300</w:t>
            </w:r>
          </w:p>
        </w:tc>
      </w:tr>
      <w:tr>
        <w:trPr>
          <w:trHeight w:val="510"/>
          <w:cantSplit/>
        </w:trPr>
        <w:tc>
          <w:tcPr>
            <w:tcW w:type="dxa" w:w="425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假設工程（施工測量、交維、告示牌）</w:t>
            </w:r>
          </w:p>
        </w:tc>
        <w:tc>
          <w:tcPr>
            <w:tcW w:type="dxa" w:w="624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式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20</w:t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</w:tr>
      <w:tr>
        <w:trPr>
          <w:trHeight w:val="510"/>
          <w:cantSplit/>
        </w:trPr>
        <w:tc>
          <w:tcPr>
            <w:tcW w:type="dxa" w:w="425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新市三路二段 拆除及整備</w:t>
            </w:r>
          </w:p>
        </w:tc>
        <w:tc>
          <w:tcPr>
            <w:tcW w:type="dxa" w:w="624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830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M3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45</w:t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</w:tr>
      <w:tr>
        <w:trPr>
          <w:trHeight w:val="510"/>
          <w:cantSplit/>
        </w:trPr>
        <w:tc>
          <w:tcPr>
            <w:tcW w:type="dxa" w:w="425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新市三路二段 排水管溝</w:t>
            </w:r>
          </w:p>
        </w:tc>
        <w:tc>
          <w:tcPr>
            <w:tcW w:type="dxa" w:w="624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1,203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M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120</w:t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</w:tr>
      <w:tr>
        <w:trPr>
          <w:trHeight w:val="510"/>
          <w:cantSplit/>
        </w:trPr>
        <w:tc>
          <w:tcPr>
            <w:tcW w:type="dxa" w:w="425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新市三路二段 管道預埋及手孔</w:t>
            </w:r>
          </w:p>
        </w:tc>
        <w:tc>
          <w:tcPr>
            <w:tcW w:type="dxa" w:w="624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2,406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M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110</w:t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</w:tr>
      <w:tr>
        <w:trPr>
          <w:trHeight w:val="510"/>
          <w:cantSplit/>
        </w:trPr>
        <w:tc>
          <w:tcPr>
            <w:tcW w:type="dxa" w:w="425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5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新市三路二段 緣石及人行道基礎</w:t>
            </w:r>
          </w:p>
        </w:tc>
        <w:tc>
          <w:tcPr>
            <w:tcW w:type="dxa" w:w="624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830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M3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100</w:t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</w:tr>
      <w:tr>
        <w:trPr>
          <w:trHeight w:val="510"/>
          <w:cantSplit/>
        </w:trPr>
        <w:tc>
          <w:tcPr>
            <w:tcW w:type="dxa" w:w="425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6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新市三路二段 人行道及自行車道鋪面</w:t>
            </w:r>
          </w:p>
        </w:tc>
        <w:tc>
          <w:tcPr>
            <w:tcW w:type="dxa" w:w="624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2,469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M2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100</w:t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</w:tr>
      <w:tr>
        <w:trPr>
          <w:trHeight w:val="510"/>
          <w:cantSplit/>
        </w:trPr>
        <w:tc>
          <w:tcPr>
            <w:tcW w:type="dxa" w:w="425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7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新市三路二段 景觀植栽及街道家具</w:t>
            </w:r>
          </w:p>
        </w:tc>
        <w:tc>
          <w:tcPr>
            <w:tcW w:type="dxa" w:w="624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式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50</w:t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</w:tr>
      <w:tr>
        <w:trPr>
          <w:trHeight w:val="510"/>
          <w:cantSplit/>
        </w:trPr>
        <w:tc>
          <w:tcPr>
            <w:tcW w:type="dxa" w:w="425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8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崁頂二路 拆除及整備</w:t>
            </w:r>
          </w:p>
        </w:tc>
        <w:tc>
          <w:tcPr>
            <w:tcW w:type="dxa" w:w="624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789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M3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40</w:t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</w:tr>
      <w:tr>
        <w:trPr>
          <w:trHeight w:val="510"/>
          <w:cantSplit/>
        </w:trPr>
        <w:tc>
          <w:tcPr>
            <w:tcW w:type="dxa" w:w="425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9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崁頂二路 排水管溝</w:t>
            </w:r>
          </w:p>
        </w:tc>
        <w:tc>
          <w:tcPr>
            <w:tcW w:type="dxa" w:w="624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951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M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100</w:t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</w:tr>
      <w:tr>
        <w:trPr>
          <w:trHeight w:val="510"/>
          <w:cantSplit/>
        </w:trPr>
        <w:tc>
          <w:tcPr>
            <w:tcW w:type="dxa" w:w="425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10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崁頂二路 管道預埋及手孔</w:t>
            </w:r>
          </w:p>
        </w:tc>
        <w:tc>
          <w:tcPr>
            <w:tcW w:type="dxa" w:w="624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1,901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M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90</w:t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</w:tr>
      <w:tr>
        <w:trPr>
          <w:trHeight w:val="510"/>
          <w:cantSplit/>
        </w:trPr>
        <w:tc>
          <w:tcPr>
            <w:tcW w:type="dxa" w:w="425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11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崁頂二路 緣石及人行道基礎</w:t>
            </w:r>
          </w:p>
        </w:tc>
        <w:tc>
          <w:tcPr>
            <w:tcW w:type="dxa" w:w="624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790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M3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80</w:t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</w:tr>
      <w:tr>
        <w:trPr>
          <w:trHeight w:val="510"/>
          <w:cantSplit/>
        </w:trPr>
        <w:tc>
          <w:tcPr>
            <w:tcW w:type="dxa" w:w="425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12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崁頂二路 人行道及自行車道鋪面</w:t>
            </w:r>
          </w:p>
        </w:tc>
        <w:tc>
          <w:tcPr>
            <w:tcW w:type="dxa" w:w="624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2,089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M2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70</w:t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</w:tr>
      <w:tr>
        <w:trPr>
          <w:trHeight w:val="510"/>
          <w:cantSplit/>
        </w:trPr>
        <w:tc>
          <w:tcPr>
            <w:tcW w:type="dxa" w:w="425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13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崁頂二路 景觀植栽及街道家具</w:t>
            </w:r>
          </w:p>
        </w:tc>
        <w:tc>
          <w:tcPr>
            <w:tcW w:type="dxa" w:w="624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式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40</w:t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</w:tr>
      <w:tr>
        <w:trPr>
          <w:trHeight w:val="510"/>
          <w:cantSplit/>
        </w:trPr>
        <w:tc>
          <w:tcPr>
            <w:tcW w:type="dxa" w:w="425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14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路面刨除及再生瀝青混凝土鋪面</w:t>
            </w:r>
          </w:p>
        </w:tc>
        <w:tc>
          <w:tcPr>
            <w:tcW w:type="dxa" w:w="624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785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M3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35</w:t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</w:tr>
      <w:tr>
        <w:trPr>
          <w:trHeight w:val="510"/>
          <w:cantSplit/>
        </w:trPr>
        <w:tc>
          <w:tcPr>
            <w:tcW w:type="dxa" w:w="425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15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標線繪製及完工整理</w:t>
            </w:r>
          </w:p>
        </w:tc>
        <w:tc>
          <w:tcPr>
            <w:tcW w:type="dxa" w:w="624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1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式</w:t>
            </w:r>
          </w:p>
        </w:tc>
        <w:tc>
          <w:tcPr>
            <w:tcW w:type="dxa" w:w="53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  <w:t>30</w:t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  <w:tc>
          <w:tcPr>
            <w:tcW w:type="dxa" w:w="471"/>
            <w:vAlign w:val="center"/>
            <w:shd w:val="clear" w:color="auto" w:fill="E67E2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新細明體"/>
                <w:b w:val="0"/>
                <w:sz w:val="16"/>
              </w:rPr>
            </w:r>
          </w:p>
        </w:tc>
      </w:tr>
    </w:tbl>
    <w:p>
      <w:pPr>
        <w:spacing w:line="360" w:lineRule="auto" w:before="40" w:after="160"/>
        <w:jc w:val="center"/>
      </w:pPr>
      <w:r>
        <w:rPr>
          <w:rFonts w:ascii="Times New Roman" w:hAnsi="Times New Roman" w:eastAsia="新細明體"/>
          <w:b w:val="0"/>
          <w:sz w:val="22"/>
        </w:rPr>
        <w:t>圖4.1 施工預定進度表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新細明體"/>
          <w:b w:val="0"/>
          <w:sz w:val="24"/>
        </w:rPr>
        <w:t>工期：約300日曆天（實際工期依細部設計及發包文件核定）。</w:t>
      </w:r>
    </w:p>
    <w:p>
      <w:pPr>
        <w:sectPr>
          <w:headerReference w:type="default" r:id="rId54"/>
          <w:footerReference w:type="default" r:id="rId55"/>
          <w:pgSz w:w="11906" w:h="16838"/>
          <w:pgMar w:top="1474" w:right="1247" w:bottom="1247" w:left="1417" w:header="567" w:footer="567" w:gutter="0"/>
          <w:cols w:space="720"/>
          <w:docGrid w:linePitch="360"/>
          <w:pgNumType w:fmt="decimal"/>
        </w:sectPr>
      </w:pPr>
    </w:p>
    <w:p>
      <w:pPr>
        <w:keepNext/>
        <w:spacing w:line="360" w:lineRule="auto" w:before="0" w:after="200"/>
        <w:jc w:val="center"/>
      </w:pPr>
      <w:r>
        <w:rPr>
          <w:rFonts w:ascii="Times New Roman" w:hAnsi="Times New Roman" w:eastAsia="標楷體"/>
          <w:b/>
          <w:sz w:val="36"/>
        </w:rPr>
        <w:t>第五章 規範綱要</w:t>
      </w:r>
    </w:p>
    <w:p>
      <w:pPr>
        <w:keepNext/>
        <w:spacing w:line="360" w:lineRule="auto" w:before="200" w:after="80"/>
        <w:jc w:val="both"/>
      </w:pPr>
      <w:r>
        <w:rPr>
          <w:rFonts w:ascii="Times New Roman" w:hAnsi="Times New Roman" w:eastAsia="標楷體"/>
          <w:b/>
          <w:sz w:val="28"/>
        </w:rPr>
        <w:t>5.1 施工規範綱要</w:t>
      </w:r>
    </w:p>
    <w:p>
      <w:pPr>
        <w:keepNext/>
        <w:spacing w:line="360" w:lineRule="auto" w:before="80" w:after="0"/>
        <w:ind w:left="170"/>
        <w:jc w:val="both"/>
      </w:pPr>
      <w:r>
        <w:rPr>
          <w:rFonts w:ascii="Times New Roman" w:hAnsi="Times New Roman" w:eastAsia="新細明體"/>
          <w:b/>
          <w:sz w:val="24"/>
        </w:rPr>
        <w:t>01篇　一般要求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01271 計量與計價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01283 估驗計價須知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01310 計畫管理及協調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01311 工作協調及會議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01320 施工過程文件紀錄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01321 施工照相及攝（錄）影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01330 資料送審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01420 參考標準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01421 規範定義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01450 品質管理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01451 品質計畫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01500 施工臨時設施及管制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01510 臨時設施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01523 施工安全衛生及管理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01556 交通維持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01561 行車導引護欄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01564 施工圍籬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01572 環境保護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01574 勞工安全衛生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01581 工程告示牌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01582 施工警告標示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01583 工程告示牌及工地標誌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01610 基本產品需求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01620 產品選擇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01630 同等品替代程序</w:t>
      </w:r>
    </w:p>
    <w:p>
      <w:pPr>
        <w:keepNext/>
        <w:spacing w:line="360" w:lineRule="auto" w:before="80" w:after="0"/>
        <w:ind w:left="170"/>
        <w:jc w:val="both"/>
      </w:pPr>
      <w:r>
        <w:rPr>
          <w:rFonts w:ascii="Times New Roman" w:hAnsi="Times New Roman" w:eastAsia="新細明體"/>
          <w:b/>
          <w:sz w:val="24"/>
        </w:rPr>
        <w:t>02篇　現場工作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02210 地下調查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02220 工地拆除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02231 清除及掘除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02252 公共管線系統之保護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02253 建築物及構造物之保護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02315 開挖及回填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02316 構造物開挖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02317 構造物回填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02319 選擇材料回填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02320 不適用材料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02323 棄土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02552 地下配電管路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02601 排水管溝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02722 級配粒料基層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02741 瀝青混凝土一般要求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02742 瀝青混凝土鋪面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02747 瀝青黏層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02770 緣石及緣石側溝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02778 人行道面層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02779 人行道底層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02786 高壓混凝土磚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02897 路權界樁及都市計畫樁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02898 標線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02900 植栽工程（客土）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02905 樹木移植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02920 植草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02961 瀝青混凝土面層刨除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02966 再生瀝青混凝土</w:t>
      </w:r>
    </w:p>
    <w:p>
      <w:pPr>
        <w:keepNext/>
        <w:spacing w:line="360" w:lineRule="auto" w:before="80" w:after="0"/>
        <w:ind w:left="170"/>
        <w:jc w:val="both"/>
      </w:pPr>
      <w:r>
        <w:rPr>
          <w:rFonts w:ascii="Times New Roman" w:hAnsi="Times New Roman" w:eastAsia="新細明體"/>
          <w:b/>
          <w:sz w:val="24"/>
        </w:rPr>
        <w:t>03篇　混凝土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03050 混凝土基本材料及施工一般要求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03052 卜特蘭水泥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03110 場鑄結構混凝土用模板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03150 混凝土附屬品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03210 鋼筋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03220 銲接鋼線網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03310 結構用混凝土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03360 混凝土表面處理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03601 無收縮水泥砂漿</w:t>
      </w:r>
    </w:p>
    <w:p>
      <w:pPr>
        <w:keepNext/>
        <w:spacing w:line="360" w:lineRule="auto" w:before="80" w:after="0"/>
        <w:ind w:left="170"/>
        <w:jc w:val="both"/>
      </w:pPr>
      <w:r>
        <w:rPr>
          <w:rFonts w:ascii="Times New Roman" w:hAnsi="Times New Roman" w:eastAsia="新細明體"/>
          <w:b/>
          <w:sz w:val="24"/>
        </w:rPr>
        <w:t>05篇　金屬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05081 熱浸鍍鋅處理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05530 金屬格柵蓋板</w:t>
      </w:r>
    </w:p>
    <w:p>
      <w:pPr>
        <w:keepNext/>
        <w:spacing w:line="360" w:lineRule="auto" w:before="80" w:after="0"/>
        <w:ind w:left="170"/>
        <w:jc w:val="both"/>
      </w:pPr>
      <w:r>
        <w:rPr>
          <w:rFonts w:ascii="Times New Roman" w:hAnsi="Times New Roman" w:eastAsia="新細明體"/>
          <w:b/>
          <w:sz w:val="24"/>
        </w:rPr>
        <w:t>16篇　電機</w:t>
      </w:r>
    </w:p>
    <w:p>
      <w:pPr>
        <w:spacing w:line="312" w:lineRule="auto" w:before="0" w:after="0"/>
        <w:ind w:left="850"/>
        <w:jc w:val="both"/>
      </w:pPr>
      <w:r>
        <w:rPr>
          <w:rFonts w:ascii="Times New Roman" w:hAnsi="Times New Roman" w:eastAsia="新細明體"/>
          <w:b w:val="0"/>
          <w:sz w:val="24"/>
        </w:rPr>
        <w:t>16132 導線管</w:t>
      </w:r>
    </w:p>
    <w:p>
      <w:pPr>
        <w:sectPr>
          <w:headerReference w:type="default" r:id="rId56"/>
          <w:footerReference w:type="default" r:id="rId57"/>
          <w:pgSz w:w="11906" w:h="16838"/>
          <w:pgMar w:top="1474" w:right="1247" w:bottom="1247" w:left="1417" w:header="567" w:footer="567" w:gutter="0"/>
          <w:cols w:space="720"/>
          <w:docGrid w:linePitch="360"/>
          <w:pgNumType w:fmt="decimal"/>
        </w:sectPr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eastAsia="標楷體"/>
          <w:b/>
          <w:sz w:val="52"/>
        </w:rPr>
        <w:t>附件一　基本設計預算書圖</w:t>
      </w:r>
    </w:p>
    <w:p>
      <w:pPr>
        <w:spacing w:line="360" w:lineRule="auto" w:before="240" w:after="0"/>
        <w:jc w:val="center"/>
      </w:pPr>
      <w:r>
        <w:rPr>
          <w:rFonts w:ascii="Times New Roman" w:hAnsi="Times New Roman" w:eastAsia="新細明體"/>
          <w:b w:val="0"/>
          <w:sz w:val="24"/>
        </w:rPr>
        <w:t>（預算書：修正四版，115年9月10日；設計圖：修正四版，共24張）</w:t>
      </w:r>
    </w:p>
    <w:sectPr w:rsidR="00FC693F" w:rsidRPr="0006063C" w:rsidSect="00034616">
      <w:headerReference w:type="default" r:id="rId58"/>
      <w:footerReference w:type="default" r:id="rId59"/>
      <w:pgSz w:w="11906" w:h="16838"/>
      <w:pgMar w:top="1474" w:right="1247" w:bottom="1247" w:left="1417" w:header="567" w:footer="567" w:gutter="0"/>
      <w:cols w:space="720"/>
      <w:docGrid w:linePitch="360"/>
      <w:pgNumType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2" w:space="4" w:color="1F3A93"/>
      </w:pBdr>
      <w:tabs>
        <w:tab w:pos="4680" w:val="clear"/>
        <w:tab w:pos="9241" w:val="right"/>
        <w:tab w:pos="9360" w:val="clear"/>
      </w:tabs>
    </w:pPr>
    <w:r/>
    <w:r>
      <w:rPr>
        <w:rFonts w:ascii="Times New Roman" w:hAnsi="Times New Roman" w:eastAsia="標楷體"/>
        <w:b/>
        <w:color w:val="1F3A93"/>
        <w:sz w:val="20"/>
      </w:rPr>
      <w:t>兩家工程顧問有限公司</w:t>
    </w:r>
    <w:r>
      <w:rPr>
        <w:rFonts w:ascii="Times New Roman" w:hAnsi="Times New Roman" w:eastAsia="標楷體"/>
        <w:b/>
        <w:sz w:val="20"/>
      </w:rPr>
      <w:tab/>
      <w:t xml:space="preserve">目　　錄　　</w:t>
    </w:r>
    <w:r>
      <w:rPr>
        <w:rFonts w:ascii="Times New Roman" w:hAnsi="Times New Roman" w:eastAsia="新細明體"/>
        <w:b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2" w:space="4" w:color="1F3A93"/>
      </w:pBdr>
      <w:tabs>
        <w:tab w:pos="4680" w:val="clear"/>
        <w:tab w:pos="9241" w:val="right"/>
        <w:tab w:pos="9360" w:val="clear"/>
      </w:tabs>
    </w:pPr>
    <w:r/>
    <w:r>
      <w:rPr>
        <w:rFonts w:ascii="Times New Roman" w:hAnsi="Times New Roman" w:eastAsia="標楷體"/>
        <w:b/>
        <w:color w:val="1F3A93"/>
        <w:sz w:val="20"/>
      </w:rPr>
      <w:t>兩家工程顧問有限公司</w:t>
    </w:r>
    <w:r>
      <w:rPr>
        <w:rFonts w:ascii="Times New Roman" w:hAnsi="Times New Roman" w:eastAsia="標楷體"/>
        <w:b/>
        <w:sz w:val="20"/>
      </w:rPr>
      <w:tab/>
      <w:t xml:space="preserve">第一章 緒論　　</w:t>
    </w:r>
    <w:r>
      <w:rPr>
        <w:rFonts w:ascii="Times New Roman" w:hAnsi="Times New Roman" w:eastAsia="新細明體"/>
        <w:b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2" w:space="4" w:color="1F3A93"/>
      </w:pBdr>
      <w:tabs>
        <w:tab w:pos="4680" w:val="clear"/>
        <w:tab w:pos="9241" w:val="right"/>
        <w:tab w:pos="9360" w:val="clear"/>
      </w:tabs>
    </w:pPr>
    <w:r/>
    <w:r>
      <w:rPr>
        <w:rFonts w:ascii="Times New Roman" w:hAnsi="Times New Roman" w:eastAsia="標楷體"/>
        <w:b/>
        <w:color w:val="1F3A93"/>
        <w:sz w:val="20"/>
      </w:rPr>
      <w:t>兩家工程顧問有限公司</w:t>
    </w:r>
    <w:r>
      <w:rPr>
        <w:rFonts w:ascii="Times New Roman" w:hAnsi="Times New Roman" w:eastAsia="標楷體"/>
        <w:b/>
        <w:sz w:val="20"/>
      </w:rPr>
      <w:tab/>
      <w:t xml:space="preserve">第二章 背景環境資料　　</w:t>
    </w:r>
    <w:r>
      <w:rPr>
        <w:rFonts w:ascii="Times New Roman" w:hAnsi="Times New Roman" w:eastAsia="新細明體"/>
        <w:b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2" w:space="4" w:color="1F3A93"/>
      </w:pBdr>
      <w:tabs>
        <w:tab w:pos="4680" w:val="clear"/>
        <w:tab w:pos="9241" w:val="right"/>
        <w:tab w:pos="9360" w:val="clear"/>
      </w:tabs>
    </w:pPr>
    <w:r/>
    <w:r>
      <w:rPr>
        <w:rFonts w:ascii="Times New Roman" w:hAnsi="Times New Roman" w:eastAsia="標楷體"/>
        <w:b/>
        <w:color w:val="1F3A93"/>
        <w:sz w:val="20"/>
      </w:rPr>
      <w:t>兩家工程顧問有限公司</w:t>
    </w:r>
    <w:r>
      <w:rPr>
        <w:rFonts w:ascii="Times New Roman" w:hAnsi="Times New Roman" w:eastAsia="標楷體"/>
        <w:b/>
        <w:sz w:val="20"/>
      </w:rPr>
      <w:tab/>
      <w:t xml:space="preserve">第三章 基本設計　　</w:t>
    </w:r>
    <w:r>
      <w:rPr>
        <w:rFonts w:ascii="Times New Roman" w:hAnsi="Times New Roman" w:eastAsia="新細明體"/>
        <w:b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2" w:space="4" w:color="1F3A93"/>
      </w:pBdr>
      <w:tabs>
        <w:tab w:pos="4680" w:val="clear"/>
        <w:tab w:pos="9241" w:val="right"/>
        <w:tab w:pos="9360" w:val="clear"/>
      </w:tabs>
    </w:pPr>
    <w:r/>
    <w:r>
      <w:rPr>
        <w:rFonts w:ascii="Times New Roman" w:hAnsi="Times New Roman" w:eastAsia="標楷體"/>
        <w:b/>
        <w:color w:val="1F3A93"/>
        <w:sz w:val="20"/>
      </w:rPr>
      <w:t>兩家工程顧問有限公司</w:t>
    </w:r>
    <w:r>
      <w:rPr>
        <w:rFonts w:ascii="Times New Roman" w:hAnsi="Times New Roman" w:eastAsia="標楷體"/>
        <w:b/>
        <w:sz w:val="20"/>
      </w:rPr>
      <w:tab/>
      <w:t xml:space="preserve">第四章 工程經費與工期　　</w:t>
    </w:r>
    <w:r>
      <w:rPr>
        <w:rFonts w:ascii="Times New Roman" w:hAnsi="Times New Roman" w:eastAsia="新細明體"/>
        <w:b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2" w:space="4" w:color="1F3A93"/>
      </w:pBdr>
      <w:tabs>
        <w:tab w:pos="4680" w:val="clear"/>
        <w:tab w:pos="9241" w:val="right"/>
        <w:tab w:pos="9360" w:val="clear"/>
      </w:tabs>
    </w:pPr>
    <w:r/>
    <w:r>
      <w:rPr>
        <w:rFonts w:ascii="Times New Roman" w:hAnsi="Times New Roman" w:eastAsia="標楷體"/>
        <w:b/>
        <w:color w:val="1F3A93"/>
        <w:sz w:val="20"/>
      </w:rPr>
      <w:t>兩家工程顧問有限公司</w:t>
    </w:r>
    <w:r>
      <w:rPr>
        <w:rFonts w:ascii="Times New Roman" w:hAnsi="Times New Roman" w:eastAsia="標楷體"/>
        <w:b/>
        <w:sz w:val="20"/>
      </w:rPr>
      <w:tab/>
      <w:t xml:space="preserve">第五章 規範綱要　　</w:t>
    </w:r>
    <w:r>
      <w:rPr>
        <w:rFonts w:ascii="Times New Roman" w:hAnsi="Times New Roman" w:eastAsia="新細明體"/>
        <w:b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2" w:space="4" w:color="1F3A93"/>
      </w:pBdr>
      <w:tabs>
        <w:tab w:pos="4680" w:val="clear"/>
        <w:tab w:pos="9241" w:val="right"/>
        <w:tab w:pos="9360" w:val="clear"/>
      </w:tabs>
    </w:pPr>
    <w:r/>
    <w:r>
      <w:rPr>
        <w:rFonts w:ascii="Times New Roman" w:hAnsi="Times New Roman" w:eastAsia="標楷體"/>
        <w:b/>
        <w:color w:val="1F3A93"/>
        <w:sz w:val="20"/>
      </w:rPr>
      <w:t>兩家工程顧問有限公司</w:t>
    </w:r>
    <w:r>
      <w:rPr>
        <w:rFonts w:ascii="Times New Roman" w:hAnsi="Times New Roman" w:eastAsia="標楷體"/>
        <w:b/>
        <w:sz w:val="20"/>
      </w:rPr>
      <w:tab/>
      <w:t xml:space="preserve">附件一　　</w:t>
    </w:r>
    <w:r>
      <w:rPr>
        <w:rFonts w:ascii="Times New Roman" w:hAnsi="Times New Roman" w:eastAsia="新細明體"/>
        <w:b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5868000" cy="35262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68000" cy="352622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5868000" cy="35262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68000" cy="352622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5868000" cy="35262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68000" cy="352622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5868000" cy="35262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68000" cy="352622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5868000" cy="35262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68000" cy="352622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5868000" cy="35262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68000" cy="352622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5868000" cy="35262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68000" cy="35262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新細明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2.jpg"/><Relationship Id="rId16" Type="http://schemas.openxmlformats.org/officeDocument/2006/relationships/image" Target="media/image3.jpg"/><Relationship Id="rId17" Type="http://schemas.openxmlformats.org/officeDocument/2006/relationships/header" Target="header4.xml"/><Relationship Id="rId18" Type="http://schemas.openxmlformats.org/officeDocument/2006/relationships/footer" Target="footer4.xml"/><Relationship Id="rId19" Type="http://schemas.openxmlformats.org/officeDocument/2006/relationships/image" Target="media/image4.jpg"/><Relationship Id="rId20" Type="http://schemas.openxmlformats.org/officeDocument/2006/relationships/image" Target="media/image5.jpg"/><Relationship Id="rId21" Type="http://schemas.openxmlformats.org/officeDocument/2006/relationships/image" Target="media/image6.jpg"/><Relationship Id="rId22" Type="http://schemas.openxmlformats.org/officeDocument/2006/relationships/image" Target="media/image7.jpg"/><Relationship Id="rId23" Type="http://schemas.openxmlformats.org/officeDocument/2006/relationships/image" Target="media/image8.jpg"/><Relationship Id="rId24" Type="http://schemas.openxmlformats.org/officeDocument/2006/relationships/image" Target="media/image9.jpg"/><Relationship Id="rId25" Type="http://schemas.openxmlformats.org/officeDocument/2006/relationships/image" Target="media/image10.png"/><Relationship Id="rId26" Type="http://schemas.openxmlformats.org/officeDocument/2006/relationships/header" Target="header5.xml"/><Relationship Id="rId27" Type="http://schemas.openxmlformats.org/officeDocument/2006/relationships/footer" Target="footer5.xml"/><Relationship Id="rId28" Type="http://schemas.openxmlformats.org/officeDocument/2006/relationships/image" Target="media/image11.jp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image" Target="media/image21.png"/><Relationship Id="rId39" Type="http://schemas.openxmlformats.org/officeDocument/2006/relationships/image" Target="media/image22.png"/><Relationship Id="rId40" Type="http://schemas.openxmlformats.org/officeDocument/2006/relationships/image" Target="media/image23.png"/><Relationship Id="rId41" Type="http://schemas.openxmlformats.org/officeDocument/2006/relationships/image" Target="media/image24.png"/><Relationship Id="rId42" Type="http://schemas.openxmlformats.org/officeDocument/2006/relationships/image" Target="media/image25.png"/><Relationship Id="rId43" Type="http://schemas.openxmlformats.org/officeDocument/2006/relationships/image" Target="media/image26.png"/><Relationship Id="rId44" Type="http://schemas.openxmlformats.org/officeDocument/2006/relationships/image" Target="media/image27.png"/><Relationship Id="rId45" Type="http://schemas.openxmlformats.org/officeDocument/2006/relationships/image" Target="media/image28.png"/><Relationship Id="rId46" Type="http://schemas.openxmlformats.org/officeDocument/2006/relationships/image" Target="media/image29.png"/><Relationship Id="rId47" Type="http://schemas.openxmlformats.org/officeDocument/2006/relationships/image" Target="media/image30.png"/><Relationship Id="rId48" Type="http://schemas.openxmlformats.org/officeDocument/2006/relationships/image" Target="media/image31.png"/><Relationship Id="rId49" Type="http://schemas.openxmlformats.org/officeDocument/2006/relationships/image" Target="media/image32.png"/><Relationship Id="rId50" Type="http://schemas.openxmlformats.org/officeDocument/2006/relationships/image" Target="media/image33.png"/><Relationship Id="rId51" Type="http://schemas.openxmlformats.org/officeDocument/2006/relationships/image" Target="media/image34.png"/><Relationship Id="rId52" Type="http://schemas.openxmlformats.org/officeDocument/2006/relationships/image" Target="media/image35.png"/><Relationship Id="rId53" Type="http://schemas.openxmlformats.org/officeDocument/2006/relationships/image" Target="media/image36.png"/><Relationship Id="rId54" Type="http://schemas.openxmlformats.org/officeDocument/2006/relationships/header" Target="header6.xml"/><Relationship Id="rId55" Type="http://schemas.openxmlformats.org/officeDocument/2006/relationships/footer" Target="footer6.xml"/><Relationship Id="rId56" Type="http://schemas.openxmlformats.org/officeDocument/2006/relationships/header" Target="header7.xml"/><Relationship Id="rId57" Type="http://schemas.openxmlformats.org/officeDocument/2006/relationships/footer" Target="footer7.xml"/><Relationship Id="rId58" Type="http://schemas.openxmlformats.org/officeDocument/2006/relationships/header" Target="header8.xml"/><Relationship Id="rId59" Type="http://schemas.openxmlformats.org/officeDocument/2006/relationships/footer" Target="footer8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