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公开资料更新版  ·  融合用户补充材料</w:t>
      </w:r>
    </w:p>
    <w:p>
      <w:pPr>
        <w:pStyle w:val="Heading1"/>
      </w:pPr>
      <w:r>
        <w:t>墨西哥手机分期市场</w:t>
        <w:br/>
        <w:t>与 OPPO＋Coppel 合作研究</w:t>
      </w:r>
    </w:p>
    <w:p>
      <w:r>
        <w:t>以市场需求、真实合同成本和合作权责为主线，评估进入墨西哥手机分期市场的可行路径。</w:t>
      </w:r>
    </w:p>
    <w:p>
      <w:pPr>
        <w:pStyle w:val="Heading2"/>
      </w:pPr>
      <w:r>
        <w:t>执行摘要</w:t>
      </w:r>
    </w:p>
    <w:p>
      <w:r>
        <w:t>1｜机会来自信用与支付方式的差异，而非“多数人没有账户”。ENIF 2024 显示，18–70岁人群正规储蓄账户持有率63.0%，正规信贷持有率37.3%；500比索及以下消费中，85.2%的人把现金作为经常使用的支付方式。没有银行信用卡、收入以现金结算和完全没有账户，应分别识别。[S1]</w:t>
      </w:r>
    </w:p>
    <w:p>
      <w:r>
        <w:t>2｜手机普及仍在提高，但2026年销售承压。ENDUTIH 2025显示，6岁及以上人口手机使用率84.6%、互联网使用率86.1%。Counterpoint报道墨西哥2026年1–2月手机零售销量平均同比下降约9%；分期有助于缓解购机现金门槛，但不能据此假定放贷后销量或盈利必然增长。[S2、S3]</w:t>
      </w:r>
    </w:p>
    <w:p>
      <w:r>
        <w:t>3｜PayJoy 已不只是“锁机贷款”。墨西哥官网列出15%–20%首付、周付、无逾期附加费及设备限制机制，并披露手机融资租赁、信用额度／卡等不同合同类型。2026年5月公司公告全球客户达到2,000万；这不是墨西哥活跃借款人数。[S7、S8、S12]</w:t>
      </w:r>
    </w:p>
    <w:p>
      <w:r>
        <w:t>4｜OPPO＋Coppel 更适合先验证增量价值与分账。补充材料提出轻资产联合运营和二次审批路径，但没有提供Coppel实际合作合同、费率或分成。建议先谈清谁出资金、谁持有债权、谁承担退货与损失、谁有合法数据使用权，再做小规模运营验证。[U2；本报告判断]</w:t>
      </w:r>
    </w:p>
    <w:p>
      <w:pPr>
        <w:pStyle w:val="Heading2"/>
      </w:pPr>
      <w:r>
        <w:t>核心建议</w:t>
      </w:r>
    </w:p>
    <w:p>
      <w:r>
        <w:t>先评估由当地合适主体承担资金与合同责任、项目方提供风控／系统／贷后能力的模式。资金自营保留为备选，不以高消费者年化成本、品牌背书或90天早期表现代替全周期经济性和合规证明。</w:t>
      </w:r>
    </w:p>
    <w:p>
      <w:pPr>
        <w:spacing w:before="60"/>
      </w:pPr>
      <w:r>
        <w:rPr>
          <w:color w:val="586A73"/>
          <w:sz w:val="16"/>
        </w:rPr>
        <w:t>币种：除明确标注美元（USD）外，墨西哥方案与模型均为墨西哥比索（MXN）。报告不是平台实时报价单；未取得的同款完整报价和合同不以估计数字填补。</w:t>
      </w:r>
    </w:p>
    <w:p>
      <w:r>
        <w:br w:type="page"/>
      </w:r>
    </w:p>
    <w:p>
      <w:pPr>
        <w:pStyle w:val="Caption"/>
      </w:pPr>
      <w:r>
        <w:t>事实、公司自述、用户材料及情景测算分别处理</w:t>
      </w:r>
    </w:p>
    <w:p>
      <w:pPr>
        <w:pStyle w:val="Heading1"/>
      </w:pPr>
      <w:r>
        <w:t>阅读导航与数据时点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143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阅读目的</w:t>
            </w:r>
          </w:p>
        </w:tc>
        <w:tc>
          <w:tcPr>
            <w:tcW w:type="dxa" w:w="7143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对应章节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判断市场需求与价格带</w:t>
            </w:r>
          </w:p>
        </w:tc>
        <w:tc>
          <w:tcPr>
            <w:tcW w:type="dxa" w:w="7143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一、市场概况：数字使用、金融可及性、2026销售压力和品牌指标。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比较平台与产品</w:t>
            </w:r>
          </w:p>
        </w:tc>
        <w:tc>
          <w:tcPr>
            <w:tcW w:type="dxa" w:w="7143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二、竞品分析：PayJoy、Macropay、Coppel及Elektra相关路径。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了解重点平台</w:t>
            </w:r>
          </w:p>
        </w:tc>
        <w:tc>
          <w:tcPr>
            <w:tcW w:type="dxa" w:w="7143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三、PayJoy专题：当前产品、技术与合同、最新经营披露。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判断OPPO＋Coppel怎么合作</w:t>
            </w:r>
          </w:p>
        </w:tc>
        <w:tc>
          <w:tcPr>
            <w:tcW w:type="dxa" w:w="7143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四、合作建议：加纳对照、成本模型、权责、数据与试点。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查验结论与来源</w:t>
            </w:r>
          </w:p>
        </w:tc>
        <w:tc>
          <w:tcPr>
            <w:tcW w:type="dxa" w:w="7143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五、结论；附录A纠错、附录B公式、附录C–E来源。</w:t>
            </w:r>
          </w:p>
        </w:tc>
      </w:tr>
    </w:tbl>
    <w:p>
      <w:pPr>
        <w:pStyle w:val="Heading2"/>
      </w:pPr>
      <w:r>
        <w:t>“最新”在本报告中的具体含义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4535"/>
      </w:tblGrid>
      <w:tr>
        <w:trPr>
          <w:tblHeader/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证据</w:t>
            </w:r>
          </w:p>
        </w:tc>
        <w:tc>
          <w:tcPr>
            <w:tcW w:type="dxa" w:w="351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实际期间／日期</w:t>
            </w:r>
          </w:p>
        </w:tc>
        <w:tc>
          <w:tcPr>
            <w:tcW w:type="dxa" w:w="453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不能误读为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ENDUTIH</w:t>
            </w:r>
          </w:p>
        </w:tc>
        <w:tc>
          <w:tcPr>
            <w:tcW w:type="dxa" w:w="351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2025年调查结果</w:t>
            </w:r>
          </w:p>
        </w:tc>
        <w:tc>
          <w:tcPr>
            <w:tcW w:type="dxa" w:w="45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2026全年手机销量或智能机购买人数。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ENIF</w:t>
            </w:r>
          </w:p>
        </w:tc>
        <w:tc>
          <w:tcPr>
            <w:tcW w:type="dxa" w:w="351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2024年金融普惠调查</w:t>
            </w:r>
          </w:p>
        </w:tc>
        <w:tc>
          <w:tcPr>
            <w:tcW w:type="dxa" w:w="45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2026实时持有率；或全人口口径。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墨西哥专门销量资料</w:t>
            </w:r>
          </w:p>
        </w:tc>
        <w:tc>
          <w:tcPr>
            <w:tcW w:type="dxa" w:w="351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2026年1–2月；文章2026-04-08发布</w:t>
            </w:r>
          </w:p>
        </w:tc>
        <w:tc>
          <w:tcPr>
            <w:tcW w:type="dxa" w:w="45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2026全年／第三季度全国销量。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拉美市场资料</w:t>
            </w:r>
          </w:p>
        </w:tc>
        <w:tc>
          <w:tcPr>
            <w:tcW w:type="dxa" w:w="351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2026年第二季度；2026-08-20发布</w:t>
            </w:r>
          </w:p>
        </w:tc>
        <w:tc>
          <w:tcPr>
            <w:tcW w:type="dxa" w:w="45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墨西哥单国品牌份额。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Statcounter</w:t>
            </w:r>
          </w:p>
        </w:tc>
        <w:tc>
          <w:tcPr>
            <w:tcW w:type="dxa" w:w="351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页面展示2026年9月</w:t>
            </w:r>
          </w:p>
        </w:tc>
        <w:tc>
          <w:tcPr>
            <w:tcW w:type="dxa" w:w="45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新机销量或分期客户份额。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平台网页与公司公告</w:t>
            </w:r>
          </w:p>
        </w:tc>
        <w:tc>
          <w:tcPr>
            <w:tcW w:type="dxa" w:w="351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网页本次读取；公告按标明日期</w:t>
            </w:r>
          </w:p>
        </w:tc>
        <w:tc>
          <w:tcPr>
            <w:tcW w:type="dxa" w:w="45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已审计财务、个体批准承诺或新合同全部内容。</w:t>
            </w:r>
          </w:p>
        </w:tc>
      </w:tr>
    </w:tbl>
    <w:p>
      <w:r>
        <w:t>所有公开来源查阅日均为2026-10-24。采用本次能读取并核实的已发布资料，不假定尚未取得的更新不存在。官网部分条款仍标注旧版本，须结合实际拟签合同核对。</w:t>
      </w:r>
    </w:p>
    <w:p>
      <w:r>
        <w:t>Coppel官网本次返回403；CONDUSEF主页返回503，部分注册合同及附件外链受访问限制。对应数字或法律细节保留为待核，未把访问失败理解为业务停止或不合规。</w:t>
      </w:r>
    </w:p>
    <w:p>
      <w:pPr>
        <w:spacing w:before="60"/>
      </w:pPr>
      <w:r>
        <w:rPr>
          <w:color w:val="586A73"/>
          <w:sz w:val="16"/>
        </w:rPr>
        <w:t>用户原DOCX用于结构，新增10页PDF用于合作思路；附件中的推断与测算独立标注，未当作已确认的合作条款。</w:t>
      </w:r>
    </w:p>
    <w:p>
      <w:r>
        <w:br w:type="page"/>
      </w:r>
    </w:p>
    <w:p>
      <w:pPr>
        <w:pStyle w:val="Caption"/>
      </w:pPr>
      <w:r>
        <w:t>1.1 互联网和手机使用增长，购机需求与授信需求仍需区分</w:t>
      </w:r>
    </w:p>
    <w:p>
      <w:pPr>
        <w:pStyle w:val="Heading1"/>
      </w:pPr>
      <w:r>
        <w:t>一、墨西哥智能手机市场概况</w:t>
      </w:r>
    </w:p>
    <w:p>
      <w:r>
        <w:drawing>
          <wp:inline xmlns:a="http://schemas.openxmlformats.org/drawingml/2006/main" xmlns:pic="http://schemas.openxmlformats.org/drawingml/2006/picture">
            <wp:extent cx="6263999" cy="2751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5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color w:val="586A73"/>
          <w:sz w:val="16"/>
        </w:rPr>
        <w:t>图1｜互联网与手机使用率；分母均为6岁及以上人口。来源：[S2] 第3、23页。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268"/>
        <w:gridCol w:w="4762"/>
      </w:tblGrid>
      <w:tr>
        <w:trPr>
          <w:tblHeader/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2025年指标</w:t>
            </w:r>
          </w:p>
        </w:tc>
        <w:tc>
          <w:tcPr>
            <w:tcW w:type="dxa" w:w="226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数值</w:t>
            </w:r>
          </w:p>
        </w:tc>
        <w:tc>
          <w:tcPr>
            <w:tcW w:type="dxa" w:w="4762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业务解释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手机使用人数／使用率</w:t>
            </w:r>
          </w:p>
        </w:tc>
        <w:tc>
          <w:tcPr>
            <w:tcW w:type="dxa" w:w="226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1.032亿／84.6%</w:t>
            </w:r>
          </w:p>
        </w:tc>
        <w:tc>
          <w:tcPr>
            <w:tcW w:type="dxa" w:w="476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包括不同类型手机；不是当年新机购买人数。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互联网使用人数／使用率</w:t>
            </w:r>
          </w:p>
        </w:tc>
        <w:tc>
          <w:tcPr>
            <w:tcW w:type="dxa" w:w="226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1.049亿／86.1%</w:t>
            </w:r>
          </w:p>
        </w:tc>
        <w:tc>
          <w:tcPr>
            <w:tcW w:type="dxa" w:w="476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线上申请具有基础，但不能推断全部可获批。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城市／农村互联网使用率</w:t>
            </w:r>
          </w:p>
        </w:tc>
        <w:tc>
          <w:tcPr>
            <w:tcW w:type="dxa" w:w="226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88.9%／75.2%</w:t>
            </w:r>
          </w:p>
        </w:tc>
        <w:tc>
          <w:tcPr>
            <w:tcW w:type="dxa" w:w="476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渠道应保留门店协助与弱网络支持。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用智能手机上网的互联网用户</w:t>
            </w:r>
          </w:p>
        </w:tc>
        <w:tc>
          <w:tcPr>
            <w:tcW w:type="dxa" w:w="226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97.3%</w:t>
            </w:r>
          </w:p>
        </w:tc>
        <w:tc>
          <w:tcPr>
            <w:tcW w:type="dxa" w:w="476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分母是互联网使用者，不是总人口。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手机用户预付费比例</w:t>
            </w:r>
          </w:p>
        </w:tc>
        <w:tc>
          <w:tcPr>
            <w:tcW w:type="dxa" w:w="226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79.3%</w:t>
            </w:r>
          </w:p>
        </w:tc>
        <w:tc>
          <w:tcPr>
            <w:tcW w:type="dxa" w:w="476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为通信服务支付方式，不等于手机硬件分期占比。</w:t>
            </w:r>
          </w:p>
        </w:tc>
      </w:tr>
    </w:tbl>
    <w:p>
      <w:pPr>
        <w:pStyle w:val="Heading2"/>
      </w:pPr>
      <w:r>
        <w:t>对进入策略的含义</w:t>
      </w:r>
    </w:p>
    <w:p>
      <w:r>
        <w:t>增长并不等于“首次买手机”占主导。手机分期可以服务首次购机、损坏换机、升级和工作需求，四类客户的设备选择、还款能力与存量负债不同。应在试点中采集实际购买原因，避免用全国使用率直接推算可贷人数。</w:t>
      </w:r>
    </w:p>
    <w:p>
      <w:r>
        <w:t>App申请、门店取机和现金／线下还款可以组合使用。设备受限时仍须能够查看合同、找到还款方式并获得帮助；这是产品连续性问题，不只是设备控制功能。</w:t>
      </w:r>
    </w:p>
    <w:p>
      <w:pPr>
        <w:spacing w:before="60"/>
      </w:pPr>
      <w:r>
        <w:rPr>
          <w:color w:val="586A73"/>
          <w:sz w:val="16"/>
        </w:rPr>
        <w:t>来源：[S2] 第3–4、10、23、27页。图中年份为调查年；未将手机使用人数当作智能手机销量。</w:t>
      </w:r>
    </w:p>
    <w:p>
      <w:r>
        <w:br w:type="page"/>
      </w:r>
    </w:p>
    <w:p>
      <w:pPr>
        <w:pStyle w:val="Caption"/>
      </w:pPr>
      <w:r>
        <w:t>1.2 正规账户已较普及，正规信贷和银行信用卡仍有覆盖差异</w:t>
      </w:r>
    </w:p>
    <w:p>
      <w:pPr>
        <w:pStyle w:val="Heading1"/>
      </w:pPr>
      <w:r>
        <w:t>一、墨西哥智能手机市场概况</w:t>
      </w:r>
    </w:p>
    <w:p>
      <w:r>
        <w:drawing>
          <wp:inline xmlns:a="http://schemas.openxmlformats.org/drawingml/2006/main" xmlns:pic="http://schemas.openxmlformats.org/drawingml/2006/picture">
            <wp:extent cx="6263999" cy="2369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l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6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color w:val="586A73"/>
          <w:sz w:val="16"/>
        </w:rPr>
        <w:t>图2｜ENIF 2024，主要结果的18–70岁人群；各类持有可重叠，不能相加。来源：[S1] 第12、17、19页。</w:t>
      </w:r>
    </w:p>
    <w:p>
      <w:pPr>
        <w:pStyle w:val="Heading2"/>
      </w:pPr>
      <w:r>
        <w:t>原稿“约60%没有银行账户”不宜继续使用</w:t>
      </w:r>
    </w:p>
    <w:p>
      <w:r>
        <w:t>ENIF的正规储蓄账户持有率为63.0%，其补集为37.0%；但“没有正规储蓄账户”仍不宜未经定义直接改写成任何口径的“unbanked”。调查总体、账户类型、是否包含数字渠道，都须随指标标注。[S1]</w:t>
      </w:r>
    </w:p>
    <w:p>
      <w:r>
        <w:t>正规信贷持有率37.3%，并不表示其余62.7%均缺乏融资意愿或满足授信条件。未持有信贷可能来自不需要、不愿负债、不符合要求等不同原因。商店信用卡持有率22.6%，高于银行信用卡的15.7%，说明零售信用值得单独研究，不能只用银行持卡率定义竞争。[S1，第19–20页]</w:t>
      </w:r>
    </w:p>
    <w:p>
      <w:pPr>
        <w:pStyle w:val="Heading2"/>
      </w:pPr>
      <w:r>
        <w:t>现金仍然重要，但支付习惯不是信用评分</w:t>
      </w:r>
    </w:p>
    <w:p>
      <w:r>
        <w:t>ENIF 2024显示，500比索及以下购买中，85.2%的人经常使用现金；501比索及以上为73.5%。这是“人群经常使用的支付方式”统计，不是按交易金额计算的现金占比，也不是借款人违约率。[S1，第32页]</w:t>
      </w:r>
    </w:p>
    <w:p>
      <w:r>
        <w:t>产品可保留现金还款网络，但仍需确认代收费用、到账延迟、凭证、误记账与节假日处理。不能把现金收入或低银行使用程度自动归类为高风险，也不能据此免除可负担性核验。</w:t>
      </w:r>
    </w:p>
    <w:p>
      <w:pPr>
        <w:spacing w:before="60"/>
      </w:pPr>
      <w:r>
        <w:rPr>
          <w:color w:val="586A73"/>
          <w:sz w:val="16"/>
        </w:rPr>
        <w:t>图表避免把金融普惠调查与互联网调查的不同年龄分母混算；未据此估算全国手机分期TAM。</w:t>
      </w:r>
    </w:p>
    <w:p>
      <w:r>
        <w:br w:type="page"/>
      </w:r>
    </w:p>
    <w:p>
      <w:pPr>
        <w:pStyle w:val="Caption"/>
      </w:pPr>
      <w:r>
        <w:t>1.3 2026销售承压；品牌流量排名不等于品牌销量排名</w:t>
      </w:r>
    </w:p>
    <w:p>
      <w:pPr>
        <w:pStyle w:val="Heading1"/>
      </w:pPr>
      <w:r>
        <w:t>一、墨西哥智能手机市场概况</w:t>
      </w:r>
    </w:p>
    <w:p>
      <w:r>
        <w:t>Counterpoint于2026-04-08报道：墨西哥2026年1–2月手机零售销量平均同比下降约9%。该文还指出，2025年250美元以下机型占墨西哥销量64%，8GB＋256GB配置占37%。这是终端零售销售口径，不是出货量，也不是分期购机的机型结构。[S3]</w:t>
      </w:r>
    </w:p>
    <w:p>
      <w:r>
        <w:t>较新的区域资料显示，2026Q2拉美智能手机出货量同比下降10%；Samsung在区域出货中占38%。这些可用于识别供应和定价压力，但不能写成“墨西哥Samsung份额38%”。内存和整机成本压力可能抬高首付或每期付款，是否延长期限仍需按可负担性与损失测算决定。[S4；后句为业务判断]</w:t>
      </w:r>
    </w:p>
    <w:p>
      <w:pPr>
        <w:pStyle w:val="Heading2"/>
      </w:pPr>
      <w:r>
        <w:t>可取得的品牌快照：2026年9月网页流量样本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984"/>
        <w:gridCol w:w="5046"/>
      </w:tblGrid>
      <w:tr>
        <w:trPr>
          <w:tblHeader/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品牌／分类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页面显示份额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适用边界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Apple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27.96%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下列均是移动网页浏览流量指标。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Unknown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23.56%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未知品牌占比较高，不重新分配给已知品牌。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Samsung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17.69%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不能据此推导新机销量。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Motorola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9.00%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不能推导分期批准率或门店覆盖。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Xiaomi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7.44%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不能替代完整价格带数据。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OPPO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4.56%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不与vivo合并为一个份额。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其他（本报告按差额计算）</w:t>
            </w:r>
          </w:p>
        </w:tc>
        <w:tc>
          <w:tcPr>
            <w:tcW w:type="dxa" w:w="198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9.79%</w:t>
            </w:r>
          </w:p>
        </w:tc>
        <w:tc>
          <w:tcPr>
            <w:tcW w:type="dxa" w:w="504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100%减上列显示值，存在四舍五入尾差。</w:t>
            </w:r>
          </w:p>
        </w:tc>
      </w:tr>
    </w:tbl>
    <w:p>
      <w:r>
        <w:t>原模板的“Apple 25%–31%销量第一”等数字缺少出处和方法，可能混淆流量与销量。本报告不沿用该销量排名；实际分期选型以当地可售SKU、合同兼容、保修、价格和成交记录为准。[U1、S5、S6]</w:t>
      </w:r>
    </w:p>
    <w:p>
      <w:pPr>
        <w:spacing w:before="60"/>
      </w:pPr>
      <w:r>
        <w:rPr>
          <w:color w:val="586A73"/>
          <w:sz w:val="16"/>
        </w:rPr>
        <w:t>S3价格单位为USD；本报告没有用未经核实汇率把250美元价格带换算为MXN。S5是样本流量，不是全部设备保有量。</w:t>
      </w:r>
    </w:p>
    <w:p>
      <w:r>
        <w:br w:type="page"/>
      </w:r>
    </w:p>
    <w:p>
      <w:pPr>
        <w:pStyle w:val="Caption"/>
      </w:pPr>
      <w:r>
        <w:t>2.1 比较产品、门槛和支付链路，不用无出处APR作排名</w:t>
      </w:r>
    </w:p>
    <w:p>
      <w:pPr>
        <w:pStyle w:val="Heading1"/>
      </w:pPr>
      <w:r>
        <w:t>二、墨西哥手机分期主要竞争对手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005"/>
        <w:gridCol w:w="2494"/>
        <w:gridCol w:w="2948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6"/>
              </w:rPr>
              <w:t>主体／路径</w:t>
            </w:r>
          </w:p>
        </w:tc>
        <w:tc>
          <w:tcPr>
            <w:tcW w:type="dxa" w:w="300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6"/>
              </w:rPr>
              <w:t>已核实或材料显示的结构</w:t>
            </w:r>
          </w:p>
        </w:tc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6"/>
              </w:rPr>
              <w:t>首付／期限／频率</w:t>
            </w:r>
          </w:p>
        </w:tc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6"/>
              </w:rPr>
              <w:t>成本与证据缺口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PayJoy Mexico</w:t>
            </w:r>
          </w:p>
        </w:tc>
        <w:tc>
          <w:tcPr>
            <w:tcW w:type="dxa" w:w="3005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手机融资＋设备限制；官网监管页列融资租赁等合同；另有卡／额度。</w:t>
            </w:r>
          </w:p>
        </w:tc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手机产品页15%–20%首付；周付；完整期限须逐笔报价。</w:t>
            </w:r>
          </w:p>
        </w:tc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固定总付款和无逾期附加费的官方主张；未取得同款完整还款表及CAT。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Macropay</w:t>
            </w:r>
          </w:p>
        </w:tc>
        <w:tc>
          <w:tcPr>
            <w:tcW w:type="dxa" w:w="3005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门店申请；INE等身份信息、邮箱、活跃手机号；不要求既往信用卡／信用历史。</w:t>
            </w:r>
          </w:p>
        </w:tc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手机FAQ列3／6／9／12个月，按周付款；有首付，比例需报价。</w:t>
            </w:r>
          </w:p>
        </w:tc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每周金额按机型和期限确定；无逾期附加费主张，逾期可限制设备。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Coppel／Crédito Coppel</w:t>
            </w:r>
          </w:p>
        </w:tc>
        <w:tc>
          <w:tcPr>
            <w:tcW w:type="dxa" w:w="3005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补充材料描述其零售信用与还款网络；Coppel Pay等合作机制待官网或合同补证。</w:t>
            </w:r>
          </w:p>
        </w:tc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补充材料称可多种频率；本次不确认手机现行统一期限。</w:t>
            </w:r>
          </w:p>
        </w:tc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官网403；不引用原模板40%–80%APR或把商店信用与BanCoppel合同混同。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Elektra／Banco Azteca</w:t>
            </w:r>
          </w:p>
        </w:tc>
        <w:tc>
          <w:tcPr>
            <w:tcW w:type="dxa" w:w="3005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可读取Banco Azteca消费贷款入口，标题覆盖手机等；正文动态加载未取得。</w:t>
            </w:r>
          </w:p>
        </w:tc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逐款方案、期限和优惠须补报价。</w:t>
            </w:r>
          </w:p>
        </w:tc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不沿用13–102周或50%–90%年化作为全平台参数。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银行信用卡／商户免息分期</w:t>
            </w:r>
          </w:p>
        </w:tc>
        <w:tc>
          <w:tcPr>
            <w:tcW w:type="dxa" w:w="3005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替代支付方式；ENIF显示银行信用卡持有率15.7%。</w:t>
            </w:r>
          </w:p>
        </w:tc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取决于发卡行、商户、额度和活动。</w:t>
            </w:r>
          </w:p>
        </w:tc>
        <w:tc>
          <w:tcPr>
            <w:tcW w:type="dxa" w:w="294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需区分免息分期、循环利息和账单转分期；Nu现行方案本次未核实。</w:t>
            </w:r>
          </w:p>
        </w:tc>
      </w:tr>
    </w:tbl>
    <w:p>
      <w:pPr>
        <w:pStyle w:val="Heading2"/>
      </w:pPr>
      <w:r>
        <w:t>什么情况下才可以说某平台更便宜</w:t>
      </w:r>
    </w:p>
    <w:p>
      <w:r>
        <w:t>必须锁定同品牌、完整型号、内存、保修及相同现金价，同时取得首付、每期日期与金额、处理费、保险、税、提前结清和退货条款。只看到“每周100比索起”或“无逾期费”不足以计算总价，更不能证明低年化成本。</w:t>
      </w:r>
    </w:p>
    <w:p>
      <w:r>
        <w:t>本次未获得各平台严格同款完整报价，故不制作伪精确利率排行榜。适用的比较工具是Banxico的CAT说明及带日期现金流模型，见后文。[S19]</w:t>
      </w:r>
    </w:p>
    <w:p>
      <w:pPr>
        <w:spacing w:before="60"/>
      </w:pPr>
      <w:r>
        <w:rPr>
          <w:color w:val="586A73"/>
          <w:sz w:val="16"/>
        </w:rPr>
        <w:t>来源：[S7、S8、S16、S21、U2]。银行监管与商店赊销的主体／产品边界应逐合同核实。</w:t>
      </w:r>
    </w:p>
    <w:p>
      <w:r>
        <w:br w:type="page"/>
      </w:r>
    </w:p>
    <w:p>
      <w:pPr>
        <w:pStyle w:val="Caption"/>
      </w:pPr>
      <w:r>
        <w:t>2.2 Macropay与其他路径：比较规则，比拼还款体验</w:t>
      </w:r>
    </w:p>
    <w:p>
      <w:pPr>
        <w:pStyle w:val="Heading1"/>
      </w:pPr>
      <w:r>
        <w:t>二、墨西哥手机分期主要竞争对手</w:t>
      </w:r>
    </w:p>
    <w:p>
      <w:pPr>
        <w:pStyle w:val="Heading2"/>
      </w:pPr>
      <w:r>
        <w:t>Macropay可确认的手机方案</w:t>
      </w:r>
    </w:p>
    <w:p>
      <w:r>
        <w:t>Macropay FAQ列出手机分期3、6、9、12个月，付款按周，要求有效身份证件、邮箱与活跃手机号；无需银行信用卡或既往信用历史。首付和周供依机型与期限而定，官网没有给出可通用于全部产品的统一首付和APR。[S16]</w:t>
      </w:r>
    </w:p>
    <w:p>
      <w:r>
        <w:t>FAQ允许提前支付两周，但这不等于合同到期日改为每半月。其主张固定周付、无逾期附加费，未付时设备暂时受限；还款后通常需要稳定联网同步恢复。支付点包含门店、App及OXXO等渠道，具体限制须查看方案。[S16、S17]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rPr>
          <w:tblHeader/>
          <w:cantSplit/>
        </w:trPr>
        <w:tc>
          <w:tcPr>
            <w:tcW w:type="dxa" w:w="170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对比点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PayJoy官方披露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Macropay官方披露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首付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15%–20%，依机型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有首付，统一比例未给出。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付款频率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周付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手机按周；可提前支付。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全期限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本次产品页未给统一列表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手机FAQ：3／6／9／12个月。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限制恢复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产品页称付款即恢复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FAQ提示需联网同步，通常几分钟。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准入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INE／护照及活跃手机号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INE／FM2、邮箱及活跃手机号。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实际总成本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须具体报价</w:t>
            </w:r>
          </w:p>
        </w:tc>
        <w:tc>
          <w:tcPr>
            <w:tcW w:type="dxa" w:w="413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须具体报价。</w:t>
            </w:r>
          </w:p>
        </w:tc>
      </w:tr>
    </w:tbl>
    <w:p>
      <w:pPr>
        <w:pStyle w:val="Heading2"/>
      </w:pPr>
      <w:r>
        <w:t>Elektra与银行路径的可读边界</w:t>
      </w:r>
    </w:p>
    <w:p>
      <w:r>
        <w:t>Banco Azteca的当前消费贷款入口标题列出手机等商品，且存在Elektra贷款App还款入口，但本次只取得动态页面壳，未获得完整期限、CAT和准入正文。因此保留其为竞品，不复制原稿的统一年化范围。[S21]</w:t>
      </w:r>
    </w:p>
    <w:p>
      <w:r>
        <w:t>Macropay主页与FAQ显示的门店数存在不同数字，本报告不以这些页面混算总网点或手机专营店数量。银行信用卡分期同样需要限定发卡行、商户与活动，不能一概当作低价方案。</w:t>
      </w:r>
    </w:p>
    <w:p>
      <w:pPr>
        <w:spacing w:before="60"/>
      </w:pPr>
      <w:r>
        <w:rPr>
          <w:color w:val="586A73"/>
          <w:sz w:val="16"/>
        </w:rPr>
        <w:t>来源：[S7、S16–S18、S21]。以上不构成对两家公司实际批准率、解锁时效或服务质量的比较结论。</w:t>
      </w:r>
    </w:p>
    <w:p>
      <w:r>
        <w:br w:type="page"/>
      </w:r>
    </w:p>
    <w:p>
      <w:pPr>
        <w:pStyle w:val="Caption"/>
      </w:pPr>
      <w:r>
        <w:t>3.1 当前墨西哥手机产品：身份准入、周付与设备限制</w:t>
      </w:r>
    </w:p>
    <w:p>
      <w:pPr>
        <w:pStyle w:val="Heading1"/>
      </w:pPr>
      <w:r>
        <w:t>三、PayJoy专题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3969"/>
        <w:gridCol w:w="4706"/>
      </w:tblGrid>
      <w:tr>
        <w:trPr>
          <w:tblHeader/>
          <w:cantSplit/>
        </w:trPr>
        <w:tc>
          <w:tcPr>
            <w:tcW w:type="dxa" w:w="1304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环节</w:t>
            </w:r>
          </w:p>
        </w:tc>
        <w:tc>
          <w:tcPr>
            <w:tcW w:type="dxa" w:w="3969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墨西哥官网本次披露</w:t>
            </w:r>
          </w:p>
        </w:tc>
        <w:tc>
          <w:tcPr>
            <w:tcW w:type="dxa" w:w="4706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合作与消费者体验关注点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申请</w:t>
            </w:r>
          </w:p>
        </w:tc>
        <w:tc>
          <w:tcPr>
            <w:tcW w:type="dxa" w:w="396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有效INE或护照、活跃手机号；不要求已有信用历史或银行账户。</w:t>
            </w:r>
          </w:p>
        </w:tc>
        <w:tc>
          <w:tcPr>
            <w:tcW w:type="dxa" w:w="470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“可申请”不等于保证批准；仍需实际身份和反欺诈核验。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首付</w:t>
            </w:r>
          </w:p>
        </w:tc>
        <w:tc>
          <w:tcPr>
            <w:tcW w:type="dxa" w:w="396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手机价格的15%–20%，依机型而定。</w:t>
            </w:r>
          </w:p>
        </w:tc>
        <w:tc>
          <w:tcPr>
            <w:tcW w:type="dxa" w:w="470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低首付会增加融资额；与月供、总支付一并说明。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交付</w:t>
            </w:r>
          </w:p>
        </w:tc>
        <w:tc>
          <w:tcPr>
            <w:tcW w:type="dxa" w:w="396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可线上或合作门店办理，具体型号依门店而变。</w:t>
            </w:r>
          </w:p>
        </w:tc>
        <w:tc>
          <w:tcPr>
            <w:tcW w:type="dxa" w:w="470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确认库存、退货、保修和交付凭证。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还款</w:t>
            </w:r>
          </w:p>
        </w:tc>
        <w:tc>
          <w:tcPr>
            <w:tcW w:type="dxa" w:w="396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周付；可通过便利店、购机门店或App等渠道。</w:t>
            </w:r>
          </w:p>
        </w:tc>
        <w:tc>
          <w:tcPr>
            <w:tcW w:type="dxa" w:w="470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费用、实际到账时间、失败重试与解锁反馈需实测。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设备受限</w:t>
            </w:r>
          </w:p>
        </w:tc>
        <w:tc>
          <w:tcPr>
            <w:tcW w:type="dxa" w:w="396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欠付可进入限制模式；付款后恢复；保留紧急电话及联系PayJoy。</w:t>
            </w:r>
          </w:p>
        </w:tc>
        <w:tc>
          <w:tcPr>
            <w:tcW w:type="dxa" w:w="470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按合同与技术版本验证，不把官网体验主张当作实测SLA。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总成本</w:t>
            </w:r>
          </w:p>
        </w:tc>
        <w:tc>
          <w:tcPr>
            <w:tcW w:type="dxa" w:w="396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购买时给出个体化费用；官网称无注册费、年费或逾期附加费。</w:t>
            </w:r>
          </w:p>
        </w:tc>
        <w:tc>
          <w:tcPr>
            <w:tcW w:type="dxa" w:w="470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没有逐期金额和日期，仍不能计算消费者CAT。</w:t>
            </w:r>
          </w:p>
        </w:tc>
      </w:tr>
    </w:tbl>
    <w:p>
      <w:pPr>
        <w:pStyle w:val="Heading2"/>
      </w:pPr>
      <w:r>
        <w:t>官网不同位置的营销数字不宜混为业绩</w:t>
      </w:r>
    </w:p>
    <w:p>
      <w:r>
        <w:t>墨西哥首页写周付150比索起，手机产品页写100比索起；零售合作页也同时出现90%以上、95%以上批准率等不同主张。报告不据此承诺最低周供或通过率，原因是未提供对应型号、客群、期间和分母。[S7、S14及墨西哥首页]</w:t>
      </w:r>
    </w:p>
    <w:p>
      <w:pPr>
        <w:pStyle w:val="Heading2"/>
      </w:pPr>
      <w:r>
        <w:t>产品不是单一的“现金贷款＋锁机”</w:t>
      </w:r>
    </w:p>
    <w:p>
      <w:r>
        <w:t>当前手机产品FAQ自称融资租赁；监管页列Phone Finance、Credit Line-Card以及组合合同。旧条款页面则保留2023年8月的所有权保留文本。需要辨明实际签署的合同，不宜用同一标签涵盖全部产品。[S7–S9]</w:t>
      </w:r>
    </w:p>
    <w:p>
      <w:pPr>
        <w:spacing w:before="60"/>
      </w:pPr>
      <w:r>
        <w:rPr>
          <w:color w:val="586A73"/>
          <w:sz w:val="16"/>
        </w:rPr>
        <w:t>以上为公司官方产品披露，非授信政策审计、合同法律意见或技术验收。</w:t>
      </w:r>
    </w:p>
    <w:p>
      <w:r>
        <w:br w:type="page"/>
      </w:r>
    </w:p>
    <w:p>
      <w:pPr>
        <w:pStyle w:val="Caption"/>
      </w:pPr>
      <w:r>
        <w:t>3.2 从全球2,000万客户到信用卡延伸：规模与收益分别看</w:t>
      </w:r>
    </w:p>
    <w:p>
      <w:pPr>
        <w:pStyle w:val="Heading1"/>
      </w:pPr>
      <w:r>
        <w:t>三、PayJoy专题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025"/>
        <w:gridCol w:w="4025"/>
      </w:tblGrid>
      <w:tr>
        <w:trPr>
          <w:tblHeader/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日期／范围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本次能核实的披露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使用限制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2026-05-04／全球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官网公告摘要：达到2,000万客户；自2015年以来累计融资超过35亿美元。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公司自报；累计融资不是当年收入、资产余额或墨西哥放款。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本次官网／全球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About页面20M+、9个国家；OEM页33k+销售点。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不是墨西哥客户或网点数；不同产品页面更新时点可能不同。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2026-10-12／全球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官网公告摘要：拟收购Finia AI战略资产，增强AI授信及服务小微企业能力。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不能表述为收购已完成；没有据此测算收益。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本次墨西哥产品页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Tarjeta PayJoy支持购物／取现与额度使用；可向新客户开放申请。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信用额度不是手机现金价；ATM可能另收费，实际资格与兼容机型须核对。</w:t>
            </w:r>
          </w:p>
        </w:tc>
      </w:tr>
    </w:tbl>
    <w:p>
      <w:pPr>
        <w:pStyle w:val="Heading2"/>
      </w:pPr>
      <w:r>
        <w:t>技术与商业能力的组合</w:t>
      </w:r>
    </w:p>
    <w:p>
      <w:r>
        <w:t>设备限制降低违约后继续使用设备的便利性；替代数据审批、门店覆盖、支付到账、解锁体验、退货和客户服务共同决定产品效果。OEM页强调由PayJoy承担信用风险、向零售商结算，这支持“技术＋资金／信用关系＋渠道服务”的理解，但具体追索、回购、欺诈和退货责任仍以当地合同为准。[S7、S10、S13–S15]</w:t>
      </w:r>
    </w:p>
    <w:p>
      <w:pPr>
        <w:pStyle w:val="Heading2"/>
      </w:pPr>
      <w:r>
        <w:t>对原报告经营数字的更新与删除</w:t>
      </w:r>
    </w:p>
    <w:p>
      <w:r>
        <w:t>原稿“1,900万用户”更新为公司2026年5月披露的全球2,000万；“2025年底融资1.4亿美元”“年化收入运行率超过3亿美元”“坏账个位数”“三星占45%–55%”均未在本次可读权威材料中取得充分对应证据，不继续作为事实引用。[U1]</w:t>
      </w:r>
    </w:p>
    <w:p>
      <w:r>
        <w:t>OEM页自述盈利，不等于已取得经审计财务。本报告不由官网批准率、客户数量或总融资量推算净利润，也不确认“Samsung Finance+墨西哥底层就是PayJoy”等未经双方正式资料支持的关系。</w:t>
      </w:r>
    </w:p>
    <w:p>
      <w:pPr>
        <w:spacing w:before="60"/>
      </w:pPr>
      <w:r>
        <w:rPr>
          <w:color w:val="586A73"/>
          <w:sz w:val="16"/>
        </w:rPr>
        <w:t>来源：[S11–S15]。公司新闻摘要与独立财务验证分开；官网报告附件部分不可读，未引用未阅读报告中的数字。</w:t>
      </w:r>
    </w:p>
    <w:p>
      <w:r>
        <w:br w:type="page"/>
      </w:r>
    </w:p>
    <w:p>
      <w:pPr>
        <w:pStyle w:val="Caption"/>
      </w:pPr>
      <w:r>
        <w:t>4.1 强渠道是否需要外部分期，应先证明增量价值</w:t>
      </w:r>
    </w:p>
    <w:p>
      <w:pPr>
        <w:pStyle w:val="Heading1"/>
      </w:pPr>
      <w:r>
        <w:t>四、合作建议：OPPO＋Coppel专题</w:t>
      </w:r>
    </w:p>
    <w:p>
      <w:r>
        <w:t>新增PDF提出“小范围、轻资产、联合运营”，并把机会定位于Coppel主信用体系未覆盖的二次审批客群。这是有价值的商业假设，但材料没有提供当前Coppel合同或同款报价。本次官网403，以下按照“待谈判方案”组织，不把该假设写成Coppel已同意的合作机制。[U2]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025"/>
        <w:gridCol w:w="4025"/>
      </w:tblGrid>
      <w:tr>
        <w:trPr>
          <w:tblHeader/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待回答的问题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为什么影响项目是否成立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需要的证据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Coppel现有方案为何不能覆盖？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拒绝可能来自偿付能力不足、身份问题或反欺诈，不能全部作为可承接客群。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分原因的拒绝码、可共享字段、真实增量成交。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OPPO能提供什么？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品牌补贴、货源和导购支持不自动附带渠道信用审批权。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SKU供货、补贴金额、结算时点、授权和期限。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客户与债权由谁持有？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影响定价、还款、投诉、数据授权与再营销。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客户合同、商户协议与数据处理协议。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渠道如何收费？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按零售价、融资额或回款收费，结果差异很大。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费基、税、退货返还、分成及最低费用。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何时向门店结算？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决定实际放款规模、资金占用和退货敞口。</w:t>
            </w:r>
          </w:p>
        </w:tc>
        <w:tc>
          <w:tcPr>
            <w:tcW w:type="dxa" w:w="402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结算表、对账与退款流程、追索和回购条款。</w:t>
            </w:r>
          </w:p>
        </w:tc>
      </w:tr>
    </w:tbl>
    <w:p>
      <w:pPr>
        <w:pStyle w:val="Heading2"/>
      </w:pPr>
      <w:r>
        <w:t>建议的首个商业验证</w:t>
      </w:r>
    </w:p>
    <w:p>
      <w:r>
        <w:t>对有限的OPPO型号和门店，区分“原渠道已批”“额度不足”“可接受的薄档案”“欺诈／无偿付能力”等群体；在合法授权和清晰排除规则下测试增量成交。只有增量销售与费用覆盖关系成立，系统输出或联合运营才有可持续位置。</w:t>
      </w:r>
    </w:p>
    <w:p>
      <w:r>
        <w:t>不将Coppel商店信用、BanCoppel银行资产和Coppel Pay商户合作视为同一个产品。补充材料中的网点、员工和银行不良率未独立核验，且银行整体不良率不能代替手机二次审批组合的预期损失。</w:t>
      </w:r>
    </w:p>
    <w:p>
      <w:pPr>
        <w:spacing w:before="60"/>
      </w:pPr>
      <w:r>
        <w:rPr>
          <w:color w:val="586A73"/>
          <w:sz w:val="16"/>
        </w:rPr>
        <w:t>来源：[U2] 第1–3、5–6页；本页为研究判断与需取得的合同证据，不是合作承诺。</w:t>
      </w:r>
    </w:p>
    <w:p>
      <w:r>
        <w:br w:type="page"/>
      </w:r>
    </w:p>
    <w:p>
      <w:pPr>
        <w:pStyle w:val="Caption"/>
      </w:pPr>
      <w:r>
        <w:t>4.2 可以迁移的是运营能力，不能直接迁移的是参数</w:t>
      </w:r>
    </w:p>
    <w:p>
      <w:pPr>
        <w:pStyle w:val="Heading1"/>
      </w:pPr>
      <w:r>
        <w:t>四、合作建议：加纳与墨西哥对照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288"/>
        <w:gridCol w:w="5159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维度</w:t>
            </w:r>
          </w:p>
        </w:tc>
        <w:tc>
          <w:tcPr>
            <w:tcW w:type="dxa" w:w="328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补充材料描述的加纳基准</w:t>
            </w:r>
          </w:p>
        </w:tc>
        <w:tc>
          <w:tcPr>
            <w:tcW w:type="dxa" w:w="5159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墨西哥合作中要重估的内容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期限与回款</w:t>
            </w:r>
          </w:p>
        </w:tc>
        <w:tc>
          <w:tcPr>
            <w:tcW w:type="dxa" w:w="328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约15–16周，首付＋高频付款。</w:t>
            </w:r>
          </w:p>
        </w:tc>
        <w:tc>
          <w:tcPr>
            <w:tcW w:type="dxa" w:w="515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以拟签合同真实日期和回款计算，不由周期倒数直接推算资金年收益。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获客</w:t>
            </w:r>
          </w:p>
        </w:tc>
        <w:tc>
          <w:tcPr>
            <w:tcW w:type="dxa" w:w="328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自建agent和较强客户触达。</w:t>
            </w:r>
          </w:p>
        </w:tc>
        <w:tc>
          <w:tcPr>
            <w:tcW w:type="dxa" w:w="515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渠道导购、店内转化和分成；未取得当地同口径成本，不认定人工必然更贵。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设备控制</w:t>
            </w:r>
          </w:p>
        </w:tc>
        <w:tc>
          <w:tcPr>
            <w:tcW w:type="dxa" w:w="328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有设备管控与密集贷后。</w:t>
            </w:r>
          </w:p>
        </w:tc>
        <w:tc>
          <w:tcPr>
            <w:tcW w:type="dxa" w:w="515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需适配具体合同、数据授权、设备兼容、误锁纠正及归还安排。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客户经营</w:t>
            </w:r>
          </w:p>
        </w:tc>
        <w:tc>
          <w:tcPr>
            <w:tcW w:type="dxa" w:w="328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材料称项目方掌握客户和催收。</w:t>
            </w:r>
          </w:p>
        </w:tc>
        <w:tc>
          <w:tcPr>
            <w:tcW w:type="dxa" w:w="515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必须由合法授权、角色与合同界定，并非要求无限制“拥有”个人数据。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经济性</w:t>
            </w:r>
          </w:p>
        </w:tc>
        <w:tc>
          <w:tcPr>
            <w:tcW w:type="dxa" w:w="328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材料列过成熟组合利润与逾期指标。</w:t>
            </w:r>
          </w:p>
        </w:tc>
        <w:tc>
          <w:tcPr>
            <w:tcW w:type="dxa" w:w="515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未见底层台账；与墨西哥同账龄、同损失口径、同币种估值后再比较。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扩张约束</w:t>
            </w:r>
          </w:p>
        </w:tc>
        <w:tc>
          <w:tcPr>
            <w:tcW w:type="dxa" w:w="328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既有本地运营经验。</w:t>
            </w:r>
          </w:p>
        </w:tc>
        <w:tc>
          <w:tcPr>
            <w:tcW w:type="dxa" w:w="515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新渠道、法律与退款链路需先跑通；不能只以系统可接入判定准备完成。</w:t>
            </w:r>
          </w:p>
        </w:tc>
      </w:tr>
    </w:tbl>
    <w:p>
      <w:pPr>
        <w:pStyle w:val="Heading2"/>
      </w:pPr>
      <w:r>
        <w:t>纠正三个容易误导决策的比较</w:t>
      </w:r>
    </w:p>
    <w:p>
      <w:r>
        <w:t>第一，15周回完不等于全年必然周转3次：分期资产逐期回收，渠道结算、库存、再投放、坏账和闲置时间都会改变平均占用。应比较真实现金流和风险调整后现值。</w:t>
      </w:r>
    </w:p>
    <w:p>
      <w:r>
        <w:t>第二，账单逾期率、30天逾期余额率、核销率和净信用损失不是同一指标。不能把补充材料的加纳逾期百分比与墨西哥“25%净坏账”情景直接对照。</w:t>
      </w:r>
    </w:p>
    <w:p>
      <w:r>
        <w:t>第三，塞地单台利润不能直接与MXN单台利润比大小。需区分币种、汇率与对冲、税费、实际资本占用、观察窗口及成本分摊。本文不以未取得的底层数据宣称墨西哥一定优于或劣于加纳。</w:t>
      </w:r>
    </w:p>
    <w:p>
      <w:pPr>
        <w:spacing w:before="60"/>
      </w:pPr>
      <w:r>
        <w:rPr>
          <w:color w:val="586A73"/>
          <w:sz w:val="16"/>
        </w:rPr>
        <w:t>来源：[U2] 第2–5页；本页保留材料逻辑，未将其视为已审计业绩。</w:t>
      </w:r>
    </w:p>
    <w:p>
      <w:r>
        <w:br w:type="page"/>
      </w:r>
    </w:p>
    <w:p>
      <w:pPr>
        <w:pStyle w:val="Caption"/>
      </w:pPr>
      <w:r>
        <w:t>4.3 CAT、合同IRR、资金成本和净收益分开计算</w:t>
      </w:r>
    </w:p>
    <w:p>
      <w:pPr>
        <w:pStyle w:val="Heading1"/>
      </w:pPr>
      <w:r>
        <w:t>四、产品结构与成本比较</w:t>
      </w:r>
    </w:p>
    <w:p>
      <w:r>
        <w:t>Banxico将CAT定义为标准化、以年百分比表示的融资总成本，纳入相关成本和费用；其计算说明要求考虑完整支付与额外收费，并说明利息及佣金IVA的处理。没有完整合同现金流时，不应把月费率乘12称作CAT。[S19]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798"/>
        <w:gridCol w:w="4309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指标</w:t>
            </w:r>
          </w:p>
        </w:tc>
        <w:tc>
          <w:tcPr>
            <w:tcW w:type="dxa" w:w="379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可以回答什么</w:t>
            </w:r>
          </w:p>
        </w:tc>
        <w:tc>
          <w:tcPr>
            <w:tcW w:type="dxa" w:w="4309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现金价加价率</w:t>
            </w:r>
          </w:p>
        </w:tc>
        <w:tc>
          <w:tcPr>
            <w:tcW w:type="dxa" w:w="379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首付＋全部计划付款，相比现金购机多付多少。</w:t>
            </w:r>
          </w:p>
        </w:tc>
        <w:tc>
          <w:tcPr>
            <w:tcW w:type="dxa" w:w="430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期限、现金流年化和资金承担方利润。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消费者现金流年化</w:t>
            </w:r>
          </w:p>
        </w:tc>
        <w:tc>
          <w:tcPr>
            <w:tcW w:type="dxa" w:w="379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按融资额、各次日期和费用求解资金成本。</w:t>
            </w:r>
          </w:p>
        </w:tc>
        <w:tc>
          <w:tcPr>
            <w:tcW w:type="dxa" w:w="430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未按法定方法确认的CAT披露。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合同毛IRR</w:t>
            </w:r>
          </w:p>
        </w:tc>
        <w:tc>
          <w:tcPr>
            <w:tcW w:type="dxa" w:w="379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未扣损失、分账和全部成本时的合同现金流回报。</w:t>
            </w:r>
          </w:p>
        </w:tc>
        <w:tc>
          <w:tcPr>
            <w:tcW w:type="dxa" w:w="430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平台净收益、风险调整后收益。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资金成本／折现率</w:t>
            </w:r>
          </w:p>
        </w:tc>
        <w:tc>
          <w:tcPr>
            <w:tcW w:type="dxa" w:w="379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反映期限资金的成本或估值要求。</w:t>
            </w:r>
          </w:p>
        </w:tc>
        <w:tc>
          <w:tcPr>
            <w:tcW w:type="dxa" w:w="430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额外重复扣同一融资费用。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净贡献／NPV</w:t>
            </w:r>
          </w:p>
        </w:tc>
        <w:tc>
          <w:tcPr>
            <w:tcW w:type="dxa" w:w="379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扣除已定义费用、预期回款损失及折现后的贡献。</w:t>
            </w:r>
          </w:p>
        </w:tc>
        <w:tc>
          <w:tcPr>
            <w:tcW w:type="dxa" w:w="4309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税后利润、资本充足性和组合风险。</w:t>
            </w:r>
          </w:p>
        </w:tc>
      </w:tr>
    </w:tbl>
    <w:p>
      <w:pPr>
        <w:pStyle w:val="Heading2"/>
      </w:pPr>
      <w:r>
        <w:t>付款频率不能混译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592"/>
        <w:gridCol w:w="2835"/>
      </w:tblGrid>
      <w:tr>
        <w:trPr>
          <w:tblHeader/>
          <w:cantSplit/>
        </w:trPr>
        <w:tc>
          <w:tcPr>
            <w:tcW w:type="dxa" w:w="255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名称</w:t>
            </w:r>
          </w:p>
        </w:tc>
        <w:tc>
          <w:tcPr>
            <w:tcW w:type="dxa" w:w="4592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典型日历安排</w:t>
            </w:r>
          </w:p>
        </w:tc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一年期数（近似）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周付</w:t>
            </w:r>
          </w:p>
        </w:tc>
        <w:tc>
          <w:tcPr>
            <w:tcW w:type="dxa" w:w="459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每7天</w:t>
            </w:r>
          </w:p>
        </w:tc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每两周（biweekly）</w:t>
            </w:r>
          </w:p>
        </w:tc>
        <w:tc>
          <w:tcPr>
            <w:tcW w:type="dxa" w:w="459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每14天</w:t>
            </w:r>
          </w:p>
        </w:tc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26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半月付（quincenal）</w:t>
            </w:r>
          </w:p>
        </w:tc>
        <w:tc>
          <w:tcPr>
            <w:tcW w:type="dxa" w:w="459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通常每月2次，日期按合同</w:t>
            </w:r>
          </w:p>
        </w:tc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月付</w:t>
            </w:r>
          </w:p>
        </w:tc>
        <w:tc>
          <w:tcPr>
            <w:tcW w:type="dxa" w:w="459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每月1次</w:t>
            </w:r>
          </w:p>
        </w:tc>
        <w:tc>
          <w:tcPr>
            <w:tcW w:type="dxa" w:w="283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12</w:t>
            </w:r>
          </w:p>
        </w:tc>
      </w:tr>
    </w:tbl>
    <w:p>
      <w:r>
        <w:t>补充材料把“双周付”和quincenal并列使用，容易让24期和26期混淆。9个月也不等于固定周数。应在报价里写清首次到期日、日历规则和实际期数，并用具体日期求解年化。</w:t>
      </w:r>
    </w:p>
    <w:p>
      <w:r>
        <w:t>新产品应匹配客户可核验的收入频率，不因劳动法或零售习惯就认定所有客户适合某个默认周期。现有PayJoy与Macropay的周付证据，也不能证明Coppel项目应统一周付。</w:t>
      </w:r>
    </w:p>
    <w:p>
      <w:pPr>
        <w:spacing w:before="60"/>
      </w:pPr>
      <w:r>
        <w:rPr>
          <w:color w:val="586A73"/>
          <w:sz w:val="16"/>
        </w:rPr>
        <w:t>来源：[S19、U2]。本报告不沿用未核实的各平台APR范围，也不从补充材料115%–140%的毛IRR片段反推真实消费者合同。</w:t>
      </w:r>
    </w:p>
    <w:p>
      <w:r>
        <w:br w:type="page"/>
      </w:r>
    </w:p>
    <w:p>
      <w:pPr>
        <w:pStyle w:val="Caption"/>
      </w:pPr>
      <w:r>
        <w:t>4.4 一笔15,999 MXN的演示，不是市场报价或利润预测</w:t>
      </w:r>
    </w:p>
    <w:p>
      <w:pPr>
        <w:pStyle w:val="Heading1"/>
      </w:pPr>
      <w:r>
        <w:t>四、单位经济：完整展示假设</w:t>
      </w:r>
    </w:p>
    <w:p>
      <w:r>
        <w:t>目的：检验“高年化＋渠道流量”是否足以产生正经济性。15,999仅沿用补充材料的交易输入，未给出对应SKU、报价日和供货价；以下其他参数均为本报告为便于复算而设置的假设，不代表Coppel、OPPO或PayJoy。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402"/>
        <w:gridCol w:w="4649"/>
      </w:tblGrid>
      <w:tr>
        <w:trPr>
          <w:tblHeader/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6"/>
              </w:rPr>
              <w:t>参数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6"/>
              </w:rPr>
              <w:t>演示设定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现金交易价P／首付D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15,999／20%=3,199.8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假定现金交易价是门店应收总额，首付用于抵减融资。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融资额F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12,799.2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假定期初向门店净结算该金额；若实际不同必须改模型。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消费者有效年化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120%（仅数学假设）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月利率r=(2.2)^(1/12)−1；没有额外消费者费用或税。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基础期限／还款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12个月，月末等额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月供约1,593.55；计划付款总额含首付约22,322.46。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资金折现率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有效年化18%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仅通过折现体现，不另重复扣本金资金利息。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渠道费τ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零售价的5%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期初扣除；不假定为实际谈判费率。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支付费p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实际分期回款的2.5%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仅对实际收回的分期付款收费。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其他成本K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100＋200＋300＋50n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设备／欺诈退货准备／基础运营及期限服务成本；12个月为1,200。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回款损失折扣h</w:t>
            </w:r>
          </w:p>
        </w:tc>
        <w:tc>
          <w:tcPr>
            <w:tcW w:type="dxa" w:w="3402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基础示例10%；另做压力</w:t>
            </w:r>
          </w:p>
        </w:tc>
        <w:tc>
          <w:tcPr>
            <w:tcW w:type="dxa" w:w="4649"/>
          </w:tcPr>
          <w:p>
            <w:pPr>
              <w:spacing w:before="60" w:after="60" w:line="250" w:lineRule="auto"/>
            </w:pPr>
            <w:r>
              <w:rPr>
                <w:sz w:val="16"/>
              </w:rPr>
              <w:t>对各期计划分期回款同比例打折；不是本金净坏账率。</w:t>
            </w:r>
          </w:p>
        </w:tc>
      </w:tr>
    </w:tbl>
    <w:p>
      <w:pPr>
        <w:pStyle w:val="Heading2"/>
      </w:pPr>
      <w:r>
        <w:t>基础示例的现金流解释</w:t>
      </w:r>
    </w:p>
    <w:p>
      <w:r>
        <w:t>12期计划分期付款现值约17,503；按10%回款折扣及2.5%支付费后，回款现值约15,359。减去融资额12,799、渠道费约800和其他成本1,200，演示NPV约为559 MXN。未折现的合同融资加价约6,323，不能直接称为净利润。</w:t>
      </w:r>
    </w:p>
    <w:p>
      <w:pPr>
        <w:spacing w:before="60"/>
      </w:pPr>
      <w:r>
        <w:rPr>
          <w:color w:val="586A73"/>
          <w:sz w:val="16"/>
        </w:rPr>
        <w:t>演示没有测算税、汇率、资本约束、回收时间分布、个体违约和回购条款；回款损失按比例作用于全计划付款只是简化。正式决策须替换成实际逐期预期回款。</w:t>
      </w:r>
    </w:p>
    <w:p>
      <w:r>
        <w:br w:type="page"/>
      </w:r>
    </w:p>
    <w:p>
      <w:pPr>
        <w:pStyle w:val="Caption"/>
      </w:pPr>
      <w:r>
        <w:t>4.5 固定“渠道8%”或“坏账25%”不是通用停止线</w:t>
      </w:r>
    </w:p>
    <w:p>
      <w:pPr>
        <w:pStyle w:val="Heading1"/>
      </w:pPr>
      <w:r>
        <w:t>四、单位经济：敏感性与期限</w:t>
      </w:r>
    </w:p>
    <w:p>
      <w:pPr>
        <w:pStyle w:val="Heading2"/>
      </w:pPr>
      <w:r>
        <w:t>十二期NPV：渠道费与计划回款折扣的联动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计划回款折扣h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渠道费3%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渠道费5%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渠道费8%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渠道费10%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5.00%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1,733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1,413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933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613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10.00%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879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559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79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-241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20.00%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-827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-1,147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-1,627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-1,947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25.00%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-1,680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-2,000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-2,480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-2,800</w:t>
            </w:r>
          </w:p>
        </w:tc>
      </w:tr>
    </w:tbl>
    <w:p>
      <w:r>
        <w:t>表内金额为演示NPV（MXN）。同样8%的渠道费在较低回款折扣下仍可能为正；较高回款折扣下，即使渠道只收3%也可能为负。因而补充材料的8%与25%应视为其模型条件下的待核假设，不能当作行业红线。[U2]</w:t>
      </w:r>
    </w:p>
    <w:p>
      <w:pPr>
        <w:pStyle w:val="Heading2"/>
      </w:pPr>
      <w:r>
        <w:t>保持同一假设年化，延长期限也未必解决亏损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871"/>
        <w:gridCol w:w="2438"/>
        <w:gridCol w:w="1814"/>
        <w:gridCol w:w="2721"/>
      </w:tblGrid>
      <w:tr>
        <w:trPr>
          <w:tblHeader/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月数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月供</w:t>
            </w:r>
          </w:p>
        </w:tc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含首付计划总支付</w:t>
            </w:r>
          </w:p>
        </w:tc>
        <w:tc>
          <w:tcPr>
            <w:tcW w:type="dxa" w:w="1814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其他成本K</w:t>
            </w:r>
          </w:p>
        </w:tc>
        <w:tc>
          <w:tcPr>
            <w:tcW w:type="dxa" w:w="272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25%回款折扣下NPV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2,668</w:t>
            </w:r>
          </w:p>
        </w:tc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19,207</w:t>
            </w:r>
          </w:p>
        </w:tc>
        <w:tc>
          <w:tcPr>
            <w:tcW w:type="dxa" w:w="181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900</w:t>
            </w:r>
          </w:p>
        </w:tc>
        <w:tc>
          <w:tcPr>
            <w:tcW w:type="dxa" w:w="272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-3,342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1,947</w:t>
            </w:r>
          </w:p>
        </w:tc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20,724</w:t>
            </w:r>
          </w:p>
        </w:tc>
        <w:tc>
          <w:tcPr>
            <w:tcW w:type="dxa" w:w="181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1,050</w:t>
            </w:r>
          </w:p>
        </w:tc>
        <w:tc>
          <w:tcPr>
            <w:tcW w:type="dxa" w:w="272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-2,681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1,594</w:t>
            </w:r>
          </w:p>
        </w:tc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22,322</w:t>
            </w:r>
          </w:p>
        </w:tc>
        <w:tc>
          <w:tcPr>
            <w:tcW w:type="dxa" w:w="181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1,200</w:t>
            </w:r>
          </w:p>
        </w:tc>
        <w:tc>
          <w:tcPr>
            <w:tcW w:type="dxa" w:w="272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-2,000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18</w:t>
            </w:r>
          </w:p>
        </w:tc>
        <w:tc>
          <w:tcPr>
            <w:tcW w:type="dxa" w:w="187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1,253</w:t>
            </w:r>
          </w:p>
        </w:tc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25,759</w:t>
            </w:r>
          </w:p>
        </w:tc>
        <w:tc>
          <w:tcPr>
            <w:tcW w:type="dxa" w:w="181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1,500</w:t>
            </w:r>
          </w:p>
        </w:tc>
        <w:tc>
          <w:tcPr>
            <w:tcW w:type="dxa" w:w="272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-592</w:t>
            </w:r>
          </w:p>
        </w:tc>
      </w:tr>
    </w:tbl>
    <w:p>
      <w:r>
        <w:t>上表所有期限均保持20%首付、120%演示消费者有效年化、18%资金折现和5%渠道费，25%仅指计划回款折扣。18个月也未自动转正。它说明补充材料中“18个月名义贡献为正”的结果依赖未公开的费率、成本和损失处理，不能直接复用。</w:t>
      </w:r>
    </w:p>
    <w:p>
      <w:r>
        <w:t>在本演示12期、5%渠道费的其余假设下，回款折扣盈亏平衡点约13.28%；这不是可接受本金坏账率。真实组合中违约时点、提前还款、补贴和回收将改变结果。NPV为正也不等于值得承担尾部风险或扩大规模。</w:t>
      </w:r>
    </w:p>
    <w:p>
      <w:pPr>
        <w:spacing w:before="60"/>
      </w:pPr>
      <w:r>
        <w:rPr>
          <w:color w:val="586A73"/>
          <w:sz w:val="16"/>
        </w:rPr>
        <w:t>所有表格由同一现金流模型计算，公式见附录B。没有把补充材料的净坏账率直接代入计划回款折扣；正式模型应使用实际回款／核销／回收数据。</w:t>
      </w:r>
    </w:p>
    <w:p>
      <w:r>
        <w:br w:type="page"/>
      </w:r>
    </w:p>
    <w:p>
      <w:pPr>
        <w:pStyle w:val="Caption"/>
      </w:pPr>
      <w:r>
        <w:t>4.6 先确定商业位置，再决定系统和资金投入</w:t>
      </w:r>
    </w:p>
    <w:p>
      <w:pPr>
        <w:pStyle w:val="Heading1"/>
      </w:pPr>
      <w:r>
        <w:t>四、合作角色与合同权责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4195"/>
      </w:tblGrid>
      <w:tr>
        <w:trPr>
          <w:tblHeader/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候选角色</w:t>
            </w:r>
          </w:p>
        </w:tc>
        <w:tc>
          <w:tcPr>
            <w:tcW w:type="dxa" w:w="385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主要价值与风险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前置条件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联合运营＋当地合适资金／合同方</w:t>
            </w:r>
          </w:p>
        </w:tc>
        <w:tc>
          <w:tcPr>
            <w:tcW w:type="dxa" w:w="385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输出审批、系统和贷后能力；降低自有资金期限占用。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确定实际债权人、服务费和分润、外包责任；并非借用“合规壳”即可免责。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嵌入式技术服务</w:t>
            </w:r>
          </w:p>
        </w:tc>
        <w:tc>
          <w:tcPr>
            <w:tcW w:type="dxa" w:w="385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按单或订阅收费，边界较清晰；可能被压价或承担隐性回购。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数据处理协议、服务范围、技术SLA、责任上限、知识产权和退出。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设备与贷后服务</w:t>
            </w:r>
          </w:p>
        </w:tc>
        <w:tc>
          <w:tcPr>
            <w:tcW w:type="dxa" w:w="385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可先验证设备兼容和回款体验；价值受授信／产品控制权限制。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合法授权、限制／恢复的操作规则、人工纠错与投诉责任。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自有资金承担信用风险</w:t>
            </w:r>
          </w:p>
        </w:tc>
        <w:tc>
          <w:tcPr>
            <w:tcW w:type="dxa" w:w="385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收益和损失直接暴露；需承担资金、税、坏账及运营风险。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充分尽调、实际完整现金流、本地适用资格、可执行合同和成熟观察。</w:t>
            </w:r>
          </w:p>
        </w:tc>
      </w:tr>
    </w:tbl>
    <w:p>
      <w:pPr>
        <w:pStyle w:val="Heading2"/>
      </w:pPr>
      <w:r>
        <w:t>必须在商业条款中写清的分工</w:t>
      </w:r>
    </w:p>
    <w:p>
      <w:r>
        <w:t>品牌负责哪些供货与补贴；门店如何收首付、交机与退款；资金方如何审批、持有债权和结算；运营方可做哪些通知、设备操作和分析；支付方如何提供到账与差错处理。将欺诈、取消、盗失、故障、退货和逾期分别归责，不用“风险由合作方承担”一句概括。</w:t>
      </w:r>
    </w:p>
    <w:p>
      <w:r>
        <w:t>数据不以无限制“归谁所有”作为谈判目标。应明确谁是责任方／受托处理方、允许处理哪些数据、目的、保存期限、访问与跨境条件，以及合作结束后的迁移、删除和法定留存。客户同意不是无限制授权。</w:t>
      </w:r>
    </w:p>
    <w:p>
      <w:pPr>
        <w:pStyle w:val="Heading2"/>
      </w:pPr>
      <w:r>
        <w:t>建议谈判顺序</w:t>
      </w:r>
    </w:p>
    <w:p>
      <w:r>
        <w:t>先验证渠道愿意开放的真实增量场景，再获取示例消费者合同与商户结算条款；据此做无客户资料的技术演练和逐笔模型。达到经济与合规条件后，才决定有限投放。此前不承诺全国门店数、通过率、收益率或放量时间。</w:t>
      </w:r>
    </w:p>
    <w:p>
      <w:pPr>
        <w:spacing w:before="60"/>
      </w:pPr>
      <w:r>
        <w:rPr>
          <w:color w:val="586A73"/>
          <w:sz w:val="16"/>
        </w:rPr>
        <w:t>本页为合同与经营建议，结合[U2]及[S8、S13、S14]，不表示Coppel或任何资金方已接受该安排。</w:t>
      </w:r>
    </w:p>
    <w:p>
      <w:r>
        <w:br w:type="page"/>
      </w:r>
    </w:p>
    <w:p>
      <w:pPr>
        <w:pStyle w:val="Caption"/>
      </w:pPr>
      <w:r>
        <w:t>4.7 2025数据保护法是明确变化，设备限制仍须逐合同审查</w:t>
      </w:r>
    </w:p>
    <w:p>
      <w:pPr>
        <w:pStyle w:val="Heading1"/>
      </w:pPr>
      <w:r>
        <w:t>四、数据、设备与消费者体验</w:t>
      </w:r>
    </w:p>
    <w:p>
      <w:r>
        <w:t>DOF于2025-03-20公布颁布私营部门个人数据保护法等法律的法令，第三条为该私营部门法律正文。第7条涉及同意及金融／财产数据的明确同意与例外，第8条涉及敏感数据，第15条涉及隐私告知，第18条涉及安全措施，第35–36条涉及数据转移和例外。[S20]</w:t>
      </w:r>
    </w:p>
    <w:p>
      <w:r>
        <w:t>本次核验的是公布文本，不是已穷尽后续修订的汇编。跨境风控、定位和设备信息处理应先做数据分类、用途和接收方核验，由当地合适专业人员确认适用规则；不把位置数据或所有设备字段一概认定为同一法律类别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4082"/>
        <w:gridCol w:w="4365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场景</w:t>
            </w:r>
          </w:p>
        </w:tc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已有证据／待验证内容</w:t>
            </w:r>
          </w:p>
        </w:tc>
        <w:tc>
          <w:tcPr>
            <w:tcW w:type="dxa" w:w="436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建议验收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设备限制</w:t>
            </w:r>
          </w:p>
        </w:tc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PayJoy产品页、客户承诺支持受限状态仍可紧急呼叫和联系平台。</w:t>
            </w:r>
          </w:p>
        </w:tc>
        <w:tc>
          <w:tcPr>
            <w:tcW w:type="dxa" w:w="436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逾期、准时付款、离线、误记账、申诉、结清和恢复均有测试。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归还设备</w:t>
            </w:r>
          </w:p>
        </w:tc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当前客户承诺提到归还功能正常设备可解除信用义务；2023条款列解除及归还条件。</w:t>
            </w:r>
          </w:p>
        </w:tc>
        <w:tc>
          <w:tcPr>
            <w:tcW w:type="dxa" w:w="436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以实际合同核实设备状况、退款、未来义务、费用和信用报告处理。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催收触达</w:t>
            </w:r>
          </w:p>
        </w:tc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补充材料提REDECO；本次未取得其现行完整规则。</w:t>
            </w:r>
          </w:p>
        </w:tc>
        <w:tc>
          <w:tcPr>
            <w:tcW w:type="dxa" w:w="436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不照搬未经复核的8:00–21:00时段；禁止威胁、冒充或向无关第三方披露债务。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第三方系统／海外分析</w:t>
            </w:r>
          </w:p>
        </w:tc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本地与海外团队可能访问身份证、金融及设备数据。</w:t>
            </w:r>
          </w:p>
        </w:tc>
        <w:tc>
          <w:tcPr>
            <w:tcW w:type="dxa" w:w="436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权限最小化、合法告知和所需同意、安全措施、留存及转移依据。</w:t>
            </w:r>
          </w:p>
        </w:tc>
      </w:tr>
    </w:tbl>
    <w:p>
      <w:r>
        <w:t>PayJoy官网存在不同产品及不同年份文本：旧所有权保留合同不构成新项目可任意锁机或免除债务的法律依据。补充材料建议“逾期1–3天提醒、4–7天限制”仅是策略设想，不是墨西哥法定宽限期。</w:t>
      </w:r>
    </w:p>
    <w:p>
      <w:pPr>
        <w:spacing w:before="60"/>
      </w:pPr>
      <w:r>
        <w:rPr>
          <w:color w:val="586A73"/>
          <w:sz w:val="16"/>
        </w:rPr>
        <w:t>来源：[S7–S10、S20、U2]。上述建议应落实为具体合同与验收记录，而不是只使用“温和锁机”或“合规合作”标签。</w:t>
      </w:r>
    </w:p>
    <w:p>
      <w:r>
        <w:br w:type="page"/>
      </w:r>
    </w:p>
    <w:p>
      <w:pPr>
        <w:pStyle w:val="Caption"/>
      </w:pPr>
      <w:r>
        <w:t>4.8 90天验证运营可行性，不能验证9–12个月最终坏账</w:t>
      </w:r>
    </w:p>
    <w:p>
      <w:pPr>
        <w:pStyle w:val="Heading1"/>
      </w:pPr>
      <w:r>
        <w:t>四、分阶段试点与评价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195"/>
        <w:gridCol w:w="4195"/>
      </w:tblGrid>
      <w:tr>
        <w:trPr>
          <w:tblHeader/>
          <w:cantSplit/>
        </w:trPr>
        <w:tc>
          <w:tcPr>
            <w:tcW w:type="dxa" w:w="1587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阶段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验证内容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继续或暂停的依据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投放前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合同与费用、数据和设备授权、支付／退款／投诉、资金结算与模型。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缺任一关键责任或无法解释费用时，不进入真实客户投放。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前30天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门店导购、身份与申请、报价一致性、首付、交机、首期还款及解锁。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检查流程故障和消费者损害；必要时暂停新增并修复。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第31–90天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早期逾期、回款、费用、退货、投诉、单店运营与真实增量。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只作有限调整；预测损失需有可解释假设和回测，不能称成熟坏账。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足够账龄后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按原期限观察结清、核销、回收、退款及实际资金占用。</w:t>
            </w:r>
          </w:p>
        </w:tc>
        <w:tc>
          <w:tcPr>
            <w:tcW w:type="dxa" w:w="4195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用相同口径重新评估NPV和风险；满足预先约定条件再扩大。</w:t>
            </w:r>
          </w:p>
        </w:tc>
      </w:tr>
    </w:tbl>
    <w:p>
      <w:pPr>
        <w:pStyle w:val="Heading2"/>
      </w:pPr>
      <w:r>
        <w:t>试点规模与产品先作为建议，不作为既定计划</w:t>
      </w:r>
    </w:p>
    <w:p>
      <w:r>
        <w:t>补充材料提出20–30家店、2–3个地区、2–3个OPPO型号及20%首付／9个月等参数。本报告保留为可讨论方案，未证明这些门店和SKU可用；规模应由真实客流、操作能力、事件观察量和风险预算确定。必要时先做更小的无资金或合作资金验证。</w:t>
      </w:r>
    </w:p>
    <w:p>
      <w:pPr>
        <w:pStyle w:val="Heading2"/>
      </w:pPr>
      <w:r>
        <w:t>需要同时保留分子、分母和观察窗口的指标</w:t>
      </w:r>
    </w:p>
    <w:p>
      <w:r>
        <w:t>获客：完整申请通过率、批准后成交率、首付成功率、对照或可解释的增量销量。风险：首期到期未付、按账龄的逾期余额、滚动与恢复、核销及回收。运营：支付到账、误锁和恢复、有效投诉、退货退款和单笔履约成本。经济：实际商户结算、逐笔净回款、分成费用及折现贡献。</w:t>
      </w:r>
    </w:p>
    <w:p>
      <w:r>
        <w:t>首期违约率的分母应为已经到首期且有足够观察窗口的合同，不能把未到期客户算作正常。9个月产品在投放4–6个月时尚未全部成熟，不能按补充材料的时间线直接宣告风险已稳定。</w:t>
      </w:r>
    </w:p>
    <w:p>
      <w:pPr>
        <w:spacing w:before="60"/>
      </w:pPr>
      <w:r>
        <w:rPr>
          <w:color w:val="586A73"/>
          <w:sz w:val="16"/>
        </w:rPr>
        <w:t>来源：[U2] 第8–9页；本报告调整了风险验证边界。没有给出无数据支持的批准率、坏账率或收益达标承诺。</w:t>
      </w:r>
    </w:p>
    <w:p>
      <w:r>
        <w:br w:type="page"/>
      </w:r>
    </w:p>
    <w:p>
      <w:pPr>
        <w:pStyle w:val="Caption"/>
      </w:pPr>
      <w:r>
        <w:t>先形成可签、可算、可运行的小范围方案，再判断是否扩大</w:t>
      </w:r>
    </w:p>
    <w:p>
      <w:pPr>
        <w:pStyle w:val="Heading1"/>
      </w:pPr>
      <w:r>
        <w:t>五、结论与下一步</w:t>
      </w:r>
    </w:p>
    <w:p>
      <w:pPr>
        <w:pStyle w:val="Heading2"/>
      </w:pPr>
      <w:r>
        <w:t>市场判断</w:t>
      </w:r>
    </w:p>
    <w:p>
      <w:r>
        <w:t>墨西哥具有较高手机／互联网使用率，正规信贷与银行信用卡覆盖仍有差异，现金支付也很重要。分期需求基础存在，但2026年早期零售销量承压；需求规模不能直接替代获客、授信与盈利验证。品牌选择应依实销和具体产品证据，不使用网页流量作销量排名。</w:t>
      </w:r>
    </w:p>
    <w:p>
      <w:pPr>
        <w:pStyle w:val="Heading2"/>
      </w:pPr>
      <w:r>
        <w:t>竞品判断</w:t>
      </w:r>
    </w:p>
    <w:p>
      <w:r>
        <w:t>PayJoy已形成手机融资、门店／OEM合作、设备限制和信用额度延伸；Macropay有明确的多期限周付结构。新进入者需要在具体客群、执行和分账上证明增量。尚未取得同款完整报价时，不应声称可以通过更高APR、低首付或更强锁控赢得市场。</w:t>
      </w:r>
    </w:p>
    <w:p>
      <w:pPr>
        <w:pStyle w:val="Heading2"/>
      </w:pPr>
      <w:r>
        <w:t>合作判断</w:t>
      </w:r>
    </w:p>
    <w:p>
      <w:r>
        <w:t>对OPPO＋Coppel，优先考察轻资产能力或联合运营位置；这是降低初期资金和执行不确定性的建议，不是证明其必然盈利。二次审批需要识别原拒绝原因，不能无差别承接高风险客户。自有资金方案须在实际条款与成熟数据支持下另行评估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5386"/>
        <w:gridCol w:w="3458"/>
      </w:tblGrid>
      <w:tr>
        <w:trPr>
          <w:tblHeader/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优先级</w:t>
            </w:r>
          </w:p>
        </w:tc>
        <w:tc>
          <w:tcPr>
            <w:tcW w:type="dxa" w:w="5386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下一步可交付结果</w:t>
            </w:r>
          </w:p>
        </w:tc>
        <w:tc>
          <w:tcPr>
            <w:tcW w:type="dxa" w:w="345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决策用途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538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指定SKU逐项报价：现金价、首付、全部日期／金额、费用／税、合同主体。</w:t>
            </w:r>
          </w:p>
        </w:tc>
        <w:tc>
          <w:tcPr>
            <w:tcW w:type="dxa" w:w="345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算真实消费者成本及项目方现金流。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538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渠道、资金和运营的结算／分成／损失／退货／数据责任条款。</w:t>
            </w:r>
          </w:p>
        </w:tc>
        <w:tc>
          <w:tcPr>
            <w:tcW w:type="dxa" w:w="345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确认收益归属和控制范围。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538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当前消费者合同、资格与法律／数据及设备控制核验。</w:t>
            </w:r>
          </w:p>
        </w:tc>
        <w:tc>
          <w:tcPr>
            <w:tcW w:type="dxa" w:w="345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确认可合法执行与安全运营。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538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有限门店的实际转化、成本、还款和售后事件数据。</w:t>
            </w:r>
          </w:p>
        </w:tc>
        <w:tc>
          <w:tcPr>
            <w:tcW w:type="dxa" w:w="345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验证增量与早期流程，再逐步累积成熟风险表现。</w:t>
            </w:r>
          </w:p>
        </w:tc>
      </w:tr>
    </w:tbl>
    <w:p>
      <w:pPr>
        <w:spacing w:before="60"/>
      </w:pPr>
      <w:r>
        <w:rPr>
          <w:color w:val="586A73"/>
          <w:sz w:val="16"/>
        </w:rPr>
        <w:t>最终意见：可推进前期商业与流程验证；在缺少实际合同、结算与全周期表现时，不给出“可以重资金放量”的结论。此结论比固定渠道8%或坏账25%的单一阈值更符合当前证据。</w:t>
      </w:r>
    </w:p>
    <w:p>
      <w:r>
        <w:br w:type="page"/>
      </w:r>
    </w:p>
    <w:p>
      <w:pPr>
        <w:pStyle w:val="Caption"/>
      </w:pPr>
      <w:r>
        <w:t>原有观点保留其出处；无证据的数字不继续作为事实</w:t>
      </w:r>
    </w:p>
    <w:p>
      <w:pPr>
        <w:pStyle w:val="Heading1"/>
      </w:pPr>
      <w:r>
        <w:t>附录A｜对两份用户材料的校核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5896"/>
      </w:tblGrid>
      <w:tr>
        <w:trPr>
          <w:tblHeader/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原稿／补充材料内容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本报告处理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约60%人口无银行账户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以ENIF 2024正规储蓄账户63.0%取代；说明18–70岁分母及定义。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Apple等2025–2026品牌“销量份额”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取消无来源销量排名；另列2026年9月流量样本并醒目标注非销量。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平台APR约40%–110%等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未获逐笔完整现行合同，取消统一范围；解释CAT和现金流口径。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PayJoy 1,900万客户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更新为2026年5月公司披露全球2,000万，不写成墨西哥客户。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三星45%–55%、坏账个位数、融资1.4亿美元、收入运行率3亿美元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本次证据不足，不保留为事实；同样不据访问缺失认定数字一定错误。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PayJoy所有方案均为同一锁机贷款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区分当前融资租赁／额度／组合合同与2023年旧文本。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Coppel网点、员工、BanCoppel资产与不良率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仅保留补充材料引用记录；官网未核实，不用于估计手机组合风险。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默认双周付（quincenal）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分别定义每14天与每月两次；按实际合同及收入日历决定。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18个月可以做正贡献、8%渠道费停止线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原模型不完整，不复用利润值；以透明演示展示条件敏感性。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25%净坏账、20%–22%放量阈值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缺少损失定义、成熟数据和资金安排，不作为通用标准。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90天验证9–12个月风险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改为90天验证运营和早期风险；最终损失须成熟账龄。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劳动力更贵、消费者更敏感等跨国断言</w:t>
            </w:r>
          </w:p>
        </w:tc>
        <w:tc>
          <w:tcPr>
            <w:tcW w:type="dxa" w:w="5896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没有同口径证据，改列待验证成本与体验因素，不使用刻板比较。</w:t>
            </w:r>
          </w:p>
        </w:tc>
      </w:tr>
    </w:tbl>
    <w:p>
      <w:pPr>
        <w:spacing w:before="60"/>
      </w:pPr>
      <w:r>
        <w:rPr>
          <w:color w:val="586A73"/>
          <w:sz w:val="16"/>
        </w:rPr>
        <w:t>来源：[U1、U2]与正文对应公开来源；原文件不作修改。</w:t>
      </w:r>
    </w:p>
    <w:p>
      <w:r>
        <w:br w:type="page"/>
      </w:r>
    </w:p>
    <w:p>
      <w:pPr>
        <w:pStyle w:val="Caption"/>
      </w:pPr>
      <w:r>
        <w:t>演示可计算，但缺少真实合同仍不能作为投资或授信依据</w:t>
      </w:r>
    </w:p>
    <w:p>
      <w:pPr>
        <w:pStyle w:val="Heading1"/>
      </w:pPr>
      <w:r>
        <w:t>附录B｜模型公式、口径与复算</w:t>
      </w:r>
    </w:p>
    <w:p>
      <w:r>
        <w:t>定义：P=15,999；首付比例a=20%；D=aP；融资额F=P−D。假设现金交易价全部由首付及期初融资结算覆盖，不额外把手机采购成本再扣一次；若资金方与商户的实际结算不同，必须替换F和各方现金流。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40"/>
      </w:tblGrid>
      <w:tr>
        <w:trPr>
          <w:tblHeader/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步骤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b/>
                <w:color w:val="123B49"/>
                <w:sz w:val="17"/>
              </w:rPr>
              <w:t>公式与含义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消费者月利率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r=(1+120%)^(1/12)−1。120%仅为演示常数，不是任一平台报价。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等额月供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M=F×r÷[1−(1+r)^(−n)]；各月月末付款。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总计划支付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T=D+nM；融资加价=nM−F。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资金月折现率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d=(1+18%)^(1/12)−1。折现已体现资金成本，不再次扣相同融资利息。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计划回款现值S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S=Σ[M÷(1+d)^t]，t=1…n。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其他成本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K=100+200+300+50n；统一假定期初支付，偏保守但不代表真实成本时点。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演示NPV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NPV=(1−h)×(1−p)×S−F−τP−K；p=2.5%。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回款折扣盈亏平衡</w:t>
            </w:r>
          </w:p>
        </w:tc>
        <w:tc>
          <w:tcPr>
            <w:tcW w:type="dxa" w:w="7540"/>
          </w:tcPr>
          <w:p>
            <w:pPr>
              <w:spacing w:before="60" w:after="60" w:line="250" w:lineRule="auto"/>
            </w:pPr>
            <w:r>
              <w:rPr>
                <w:sz w:val="17"/>
              </w:rPr>
              <w:t>h*=1−(F+τP+K)÷[(1−p)S]；不是本金净坏账率。</w:t>
            </w:r>
          </w:p>
        </w:tc>
      </w:tr>
    </w:tbl>
    <w:p>
      <w:r>
        <w:t>h是计划分期回款的统一损失折扣：本模型不额外计入设备回收价值、晚付时点、提前结清或追加催收；不能把本金净损失、账单逾期或违约人数率直接代入。设备／欺诈退货准备和h的损失范围需在真实模型中去重，避免同一损失重复扣减。</w:t>
      </w:r>
    </w:p>
    <w:p>
      <w:r>
        <w:t>正式模型应以每笔合同的预期净回款和实际日期替代统一h。将供货、补贴、渠道费用、退货、税、资金、汇率及回收按真实主体分开，再汇总项目或组合。消费者CAT应依当地法定方法单独核算。</w:t>
      </w:r>
    </w:p>
    <w:p>
      <w:pPr>
        <w:spacing w:before="60"/>
      </w:pPr>
      <w:r>
        <w:rPr>
          <w:color w:val="586A73"/>
          <w:sz w:val="16"/>
        </w:rPr>
        <w:t>本报告使用未四舍五入的内部金额计算，展示金额通常取整，尾差不超过四舍五入影响。模型不输出“预测利润”，图表均标为演示。</w:t>
      </w:r>
    </w:p>
    <w:p>
      <w:r>
        <w:br w:type="page"/>
      </w:r>
    </w:p>
    <w:p>
      <w:pPr>
        <w:pStyle w:val="Caption"/>
      </w:pPr>
      <w:r>
        <w:t>公开网页查阅日统一为2026-10-24；点击来源标题可打开原文</w:t>
      </w:r>
    </w:p>
    <w:p>
      <w:pPr>
        <w:pStyle w:val="Heading1"/>
      </w:pPr>
      <w:r>
        <w:t>附录C｜市场与方法来源</w:t>
      </w:r>
    </w:p>
    <w:p>
      <w:pPr>
        <w:spacing w:after="40"/>
      </w:pPr>
      <w:r>
        <w:rPr>
          <w:b/>
        </w:rPr>
        <w:t xml:space="preserve">S1  </w:t>
      </w:r>
      <w:hyperlink r:id="rId13">
        <w:r>
          <w:rPr>
            <w:color w:val="246D9F"/>
          </w:rPr>
          <w:t>INEGI／CNBV，ENIF 2024 主要结果</w:t>
        </w:r>
      </w:hyperlink>
    </w:p>
    <w:p>
      <w:pPr>
        <w:spacing w:after="140"/>
      </w:pPr>
      <w:r>
        <w:rPr>
          <w:sz w:val="17"/>
        </w:rPr>
        <w:t>期间／版本：2024调查；官网PDF；具体发布日未另行确认。</w:t>
        <w:br/>
        <w:t>用途与范围：第9、12、17、19、32–33页；主要结果分母为18–70岁人群。</w:t>
      </w:r>
    </w:p>
    <w:p>
      <w:pPr>
        <w:spacing w:after="40"/>
      </w:pPr>
      <w:r>
        <w:rPr>
          <w:b/>
        </w:rPr>
        <w:t xml:space="preserve">S2  </w:t>
      </w:r>
      <w:hyperlink r:id="rId14">
        <w:r>
          <w:rPr>
            <w:color w:val="246D9F"/>
          </w:rPr>
          <w:t>INEGI，ENDUTIH 2025 主要结果</w:t>
        </w:r>
      </w:hyperlink>
    </w:p>
    <w:p>
      <w:pPr>
        <w:spacing w:after="140"/>
      </w:pPr>
      <w:r>
        <w:rPr>
          <w:sz w:val="17"/>
        </w:rPr>
        <w:t>期间／版本：2025调查；官网公开PDF。</w:t>
        <w:br/>
        <w:t>用途与范围：第3–4、10、23、27页；主要使用率分母为6岁及以上人口。</w:t>
      </w:r>
    </w:p>
    <w:p>
      <w:pPr>
        <w:spacing w:after="40"/>
      </w:pPr>
      <w:r>
        <w:rPr>
          <w:b/>
        </w:rPr>
        <w:t xml:space="preserve">S3  </w:t>
      </w:r>
      <w:hyperlink r:id="rId15">
        <w:r>
          <w:rPr>
            <w:color w:val="246D9F"/>
          </w:rPr>
          <w:t>Counterpoint，墨西哥手机市场专文</w:t>
        </w:r>
      </w:hyperlink>
    </w:p>
    <w:p>
      <w:pPr>
        <w:spacing w:after="140"/>
      </w:pPr>
      <w:r>
        <w:rPr>
          <w:sz w:val="17"/>
        </w:rPr>
        <w:t>期间／版本：2026-04-08发布；销售数据2026年1–2月，结构数据2025年。</w:t>
        <w:br/>
        <w:t>用途与范围：sell-through；未取得其完整付费数据库。</w:t>
      </w:r>
    </w:p>
    <w:p>
      <w:pPr>
        <w:spacing w:after="40"/>
      </w:pPr>
      <w:r>
        <w:rPr>
          <w:b/>
        </w:rPr>
        <w:t xml:space="preserve">S4  </w:t>
      </w:r>
      <w:hyperlink r:id="rId16">
        <w:r>
          <w:rPr>
            <w:color w:val="246D9F"/>
          </w:rPr>
          <w:t>Counterpoint，拉美2026年第二季度手机市场</w:t>
        </w:r>
      </w:hyperlink>
    </w:p>
    <w:p>
      <w:pPr>
        <w:spacing w:after="140"/>
      </w:pPr>
      <w:r>
        <w:rPr>
          <w:sz w:val="17"/>
        </w:rPr>
        <w:t>期间／版本：2026-08-20发布；2026Q2。</w:t>
        <w:br/>
        <w:t>用途与范围：LATAM shipments，不能当作墨西哥销量或份额。</w:t>
      </w:r>
    </w:p>
    <w:p>
      <w:pPr>
        <w:spacing w:after="40"/>
      </w:pPr>
      <w:r>
        <w:rPr>
          <w:b/>
        </w:rPr>
        <w:t xml:space="preserve">S5  </w:t>
      </w:r>
      <w:hyperlink r:id="rId17">
        <w:r>
          <w:rPr>
            <w:color w:val="246D9F"/>
          </w:rPr>
          <w:t>Statcounter，墨西哥移动品牌流量份额</w:t>
        </w:r>
      </w:hyperlink>
    </w:p>
    <w:p>
      <w:pPr>
        <w:spacing w:after="140"/>
      </w:pPr>
      <w:r>
        <w:rPr>
          <w:sz w:val="17"/>
        </w:rPr>
        <w:t>期间／版本：页面展示2026年9月。</w:t>
        <w:br/>
        <w:t>用途与范围：移动网页浏览样本；包含Unknown，不能视为出货量、销量或用户保有量份额。</w:t>
      </w:r>
    </w:p>
    <w:p>
      <w:pPr>
        <w:spacing w:after="40"/>
      </w:pPr>
      <w:r>
        <w:rPr>
          <w:b/>
        </w:rPr>
        <w:t xml:space="preserve">S6  </w:t>
      </w:r>
      <w:hyperlink r:id="rId18">
        <w:r>
          <w:rPr>
            <w:color w:val="246D9F"/>
          </w:rPr>
          <w:t>Statcounter，统计方法 FAQ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用途与范围：样本来自使用其统计代码的网站；按页面浏览统计，适用边界见正文。</w:t>
      </w:r>
    </w:p>
    <w:p>
      <w:pPr>
        <w:spacing w:after="40"/>
      </w:pPr>
      <w:r>
        <w:rPr>
          <w:b/>
        </w:rPr>
        <w:t xml:space="preserve">S19  </w:t>
      </w:r>
      <w:hyperlink r:id="rId19">
        <w:r>
          <w:rPr>
            <w:color w:val="246D9F"/>
          </w:rPr>
          <w:t>Banco de México，CAT计算器及说明</w:t>
        </w:r>
      </w:hyperlink>
    </w:p>
    <w:p>
      <w:pPr>
        <w:spacing w:after="140"/>
      </w:pPr>
      <w:r>
        <w:rPr>
          <w:sz w:val="17"/>
        </w:rPr>
        <w:t>期间／版本：持续更新官网页面；本次读取。</w:t>
        <w:br/>
        <w:t>用途与范围：标准化年化融资总成本；说明包含费用及不计利息和佣金的IVA。</w:t>
      </w:r>
    </w:p>
    <w:p>
      <w:pPr>
        <w:spacing w:before="60"/>
      </w:pPr>
      <w:r>
        <w:rPr>
          <w:color w:val="586A73"/>
          <w:sz w:val="16"/>
        </w:rPr>
        <w:t>S3公开文章与付费数据库不同；S4是拉美区域背景；S5仅网页流量。没有将未读搜索摘要、图片中的未核数字或付费墙内容作为来源。</w:t>
      </w:r>
    </w:p>
    <w:p>
      <w:r>
        <w:br w:type="page"/>
      </w:r>
    </w:p>
    <w:p>
      <w:pPr>
        <w:pStyle w:val="Caption"/>
      </w:pPr>
      <w:r>
        <w:t>公开网页查阅日统一为2026-10-24；点击来源标题可打开原文</w:t>
      </w:r>
    </w:p>
    <w:p>
      <w:pPr>
        <w:pStyle w:val="Heading1"/>
      </w:pPr>
      <w:r>
        <w:t>附录D｜PayJoy公开来源</w:t>
      </w:r>
    </w:p>
    <w:p>
      <w:pPr>
        <w:spacing w:after="40"/>
      </w:pPr>
      <w:r>
        <w:rPr>
          <w:b/>
        </w:rPr>
        <w:t xml:space="preserve">S7  </w:t>
      </w:r>
      <w:hyperlink r:id="rId20">
        <w:r>
          <w:rPr>
            <w:color w:val="246D9F"/>
          </w:rPr>
          <w:t>PayJoy Mexico，手机分期产品页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用途与范围：首付、申请、周付、支持品牌、限制模式；平台自述，不等于审计业绩。</w:t>
      </w:r>
    </w:p>
    <w:p>
      <w:pPr>
        <w:spacing w:after="40"/>
      </w:pPr>
      <w:r>
        <w:rPr>
          <w:b/>
        </w:rPr>
        <w:t xml:space="preserve">S8  </w:t>
      </w:r>
      <w:hyperlink r:id="rId21">
        <w:r>
          <w:rPr>
            <w:color w:val="246D9F"/>
          </w:rPr>
          <w:t>PayJoy Mexico，监管与合同入口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用途与范围：Cashahora主体披露、融资租赁及循环信用等合同类型；外链RECA PDF未取得正文。</w:t>
      </w:r>
    </w:p>
    <w:p>
      <w:pPr>
        <w:spacing w:after="40"/>
      </w:pPr>
      <w:r>
        <w:rPr>
          <w:b/>
        </w:rPr>
        <w:t xml:space="preserve">S9  </w:t>
      </w:r>
      <w:hyperlink r:id="rId22">
        <w:r>
          <w:rPr>
            <w:color w:val="246D9F"/>
          </w:rPr>
          <w:t>PayJoy Mexico，条款页面</w:t>
        </w:r>
      </w:hyperlink>
    </w:p>
    <w:p>
      <w:pPr>
        <w:spacing w:after="140"/>
      </w:pPr>
      <w:r>
        <w:rPr>
          <w:sz w:val="17"/>
        </w:rPr>
        <w:t>期间／版本：手机合同文本标注2023年8月；同页含后续促销。</w:t>
        <w:br/>
        <w:t>用途与范围：保留所有权、设备限制、归还条款是此版本的证据，不能自动当作2026新合同。</w:t>
      </w:r>
    </w:p>
    <w:p>
      <w:pPr>
        <w:spacing w:after="40"/>
      </w:pPr>
      <w:r>
        <w:rPr>
          <w:b/>
        </w:rPr>
        <w:t xml:space="preserve">S10  </w:t>
      </w:r>
      <w:hyperlink r:id="rId23">
        <w:r>
          <w:rPr>
            <w:color w:val="246D9F"/>
          </w:rPr>
          <w:t>PayJoy Mexico，客户承诺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用途与范围：透明披露、紧急服务、隐私和设备归还；属于公司承诺。</w:t>
      </w:r>
    </w:p>
    <w:p>
      <w:pPr>
        <w:spacing w:after="40"/>
      </w:pPr>
      <w:r>
        <w:rPr>
          <w:b/>
        </w:rPr>
        <w:t xml:space="preserve">S11  </w:t>
      </w:r>
      <w:hyperlink r:id="rId24">
        <w:r>
          <w:rPr>
            <w:color w:val="246D9F"/>
          </w:rPr>
          <w:t>PayJoy，About Us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用途与范围：全球20M+客户、9国；不是墨西哥独立客户统计。</w:t>
      </w:r>
    </w:p>
    <w:p>
      <w:pPr>
        <w:spacing w:after="40"/>
      </w:pPr>
      <w:r>
        <w:rPr>
          <w:b/>
        </w:rPr>
        <w:t xml:space="preserve">S12  </w:t>
      </w:r>
      <w:hyperlink r:id="rId25">
        <w:r>
          <w:rPr>
            <w:color w:val="246D9F"/>
          </w:rPr>
          <w:t>PayJoy，Newsroom／Press</w:t>
        </w:r>
      </w:hyperlink>
    </w:p>
    <w:p>
      <w:pPr>
        <w:spacing w:after="140"/>
      </w:pPr>
      <w:r>
        <w:rPr>
          <w:sz w:val="17"/>
        </w:rPr>
        <w:t>期间／版本：本次可读公告包括2026-05-04、2026-10-12。</w:t>
        <w:br/>
        <w:t>用途与范围：20M客户／累计融资3.5B美元；拟收购Finia AI资产。公告原始外链未读取，仅据官网摘要。</w:t>
      </w:r>
    </w:p>
    <w:p>
      <w:pPr>
        <w:spacing w:after="40"/>
      </w:pPr>
      <w:r>
        <w:rPr>
          <w:b/>
        </w:rPr>
        <w:t xml:space="preserve">S13  </w:t>
      </w:r>
      <w:hyperlink r:id="rId26">
        <w:r>
          <w:rPr>
            <w:color w:val="246D9F"/>
          </w:rPr>
          <w:t>PayJoy，OEM合作页面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用途与范围：全球33k+销售点；平台自述的风险与结算安排，非墨西哥合同。</w:t>
      </w:r>
    </w:p>
    <w:p>
      <w:pPr>
        <w:spacing w:after="40"/>
      </w:pPr>
      <w:r>
        <w:rPr>
          <w:b/>
        </w:rPr>
        <w:t xml:space="preserve">S14  </w:t>
      </w:r>
      <w:hyperlink r:id="rId27">
        <w:r>
          <w:rPr>
            <w:color w:val="246D9F"/>
          </w:rPr>
          <w:t>PayJoy Mexico，零售商合作页面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用途与范围：风险承担与获客主张；部分数字与全球页不同，不据此推算墨西哥规模。</w:t>
      </w:r>
    </w:p>
    <w:p>
      <w:pPr>
        <w:spacing w:after="40"/>
      </w:pPr>
      <w:r>
        <w:rPr>
          <w:b/>
        </w:rPr>
        <w:t xml:space="preserve">S15  </w:t>
      </w:r>
      <w:hyperlink r:id="rId28">
        <w:r>
          <w:rPr>
            <w:color w:val="246D9F"/>
          </w:rPr>
          <w:t>PayJoy Mexico，Tarjeta PayJoy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用途与范围：信用卡／信用额度产品与手机融资区分；ATM可能另收费。</w:t>
      </w:r>
    </w:p>
    <w:p>
      <w:r>
        <w:br w:type="page"/>
      </w:r>
    </w:p>
    <w:p>
      <w:pPr>
        <w:pStyle w:val="Caption"/>
      </w:pPr>
      <w:r>
        <w:t>公开网页查阅日统一为2026-10-24；点击来源标题可打开原文</w:t>
      </w:r>
    </w:p>
    <w:p>
      <w:pPr>
        <w:pStyle w:val="Heading1"/>
      </w:pPr>
      <w:r>
        <w:t>附录E｜其他平台、法律与用户材料</w:t>
      </w:r>
    </w:p>
    <w:p>
      <w:pPr>
        <w:spacing w:after="40"/>
      </w:pPr>
      <w:r>
        <w:rPr>
          <w:b/>
        </w:rPr>
        <w:t xml:space="preserve">S16  </w:t>
      </w:r>
      <w:hyperlink r:id="rId29">
        <w:r>
          <w:rPr>
            <w:color w:val="246D9F"/>
          </w:rPr>
          <w:t>Macropay，常见问题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用途与范围：手机方案3、6、9、12个月且周付；可提前还两周；固定付款、设备限制。</w:t>
      </w:r>
    </w:p>
    <w:p>
      <w:pPr>
        <w:spacing w:after="40"/>
      </w:pPr>
      <w:r>
        <w:rPr>
          <w:b/>
        </w:rPr>
        <w:t xml:space="preserve">S17  </w:t>
      </w:r>
      <w:hyperlink r:id="rId30">
        <w:r>
          <w:rPr>
            <w:color w:val="246D9F"/>
          </w:rPr>
          <w:t>Macropay，周还款入口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用途与范围：App、门店及合作支付点；该页与FAQ的门店规模口径不同，不统一报总店数。</w:t>
      </w:r>
    </w:p>
    <w:p>
      <w:pPr>
        <w:spacing w:after="40"/>
      </w:pPr>
      <w:r>
        <w:rPr>
          <w:b/>
        </w:rPr>
        <w:t xml:space="preserve">S18  </w:t>
      </w:r>
      <w:hyperlink r:id="rId31">
        <w:r>
          <w:rPr>
            <w:color w:val="246D9F"/>
          </w:rPr>
          <w:t>Macropay，条款与条件</w:t>
        </w:r>
      </w:hyperlink>
    </w:p>
    <w:p>
      <w:pPr>
        <w:spacing w:after="140"/>
      </w:pPr>
      <w:r>
        <w:rPr>
          <w:sz w:val="17"/>
        </w:rPr>
        <w:t>期间／版本：持续更新网页；本次读取。</w:t>
        <w:br/>
        <w:t>用途与范围：运营公司及平台／门店价格可能不同等披露；不等于逐笔贷款合同。</w:t>
      </w:r>
    </w:p>
    <w:p>
      <w:pPr>
        <w:spacing w:after="40"/>
      </w:pPr>
      <w:r>
        <w:rPr>
          <w:b/>
        </w:rPr>
        <w:t xml:space="preserve">S20  </w:t>
      </w:r>
      <w:hyperlink r:id="rId32">
        <w:r>
          <w:rPr>
            <w:color w:val="246D9F"/>
          </w:rPr>
          <w:t>DOF，2025-03-20数据保护等法律颁布法令</w:t>
        </w:r>
      </w:hyperlink>
    </w:p>
    <w:p>
      <w:pPr>
        <w:spacing w:after="140"/>
      </w:pPr>
      <w:r>
        <w:rPr>
          <w:sz w:val="17"/>
        </w:rPr>
        <w:t>期间／版本：2025-03-20公布文本；非已核对全部后续修订的汇编。</w:t>
        <w:br/>
        <w:t>用途与范围：第三条颁布的私营部门个人数据保护法；第7、8、15、18、35–36条等。</w:t>
      </w:r>
    </w:p>
    <w:p>
      <w:pPr>
        <w:spacing w:after="40"/>
      </w:pPr>
      <w:r>
        <w:rPr>
          <w:b/>
        </w:rPr>
        <w:t xml:space="preserve">S21  </w:t>
      </w:r>
      <w:hyperlink r:id="rId33">
        <w:r>
          <w:rPr>
            <w:color w:val="246D9F"/>
          </w:rPr>
          <w:t>Banco Azteca，消费贷款产品入口</w:t>
        </w:r>
      </w:hyperlink>
    </w:p>
    <w:p>
      <w:pPr>
        <w:spacing w:after="140"/>
      </w:pPr>
      <w:r>
        <w:rPr>
          <w:sz w:val="17"/>
        </w:rPr>
        <w:t>期间／版本：持续更新官网页面；仅取得页面标题／壳。</w:t>
        <w:br/>
        <w:t>用途与范围：可确认产品入口面向家居、摩托和手机；不能据此确认利率、期限和准入。</w:t>
      </w:r>
    </w:p>
    <w:p>
      <w:pPr>
        <w:spacing w:after="40"/>
      </w:pPr>
      <w:r>
        <w:rPr>
          <w:b/>
        </w:rPr>
        <w:t xml:space="preserve">U1  </w:t>
      </w:r>
      <w:r>
        <w:t>墨西哥手机分期调研.docx（用户原模板）</w:t>
      </w:r>
    </w:p>
    <w:p>
      <w:pPr>
        <w:spacing w:after="140"/>
      </w:pPr>
      <w:r>
        <w:rPr>
          <w:sz w:val="17"/>
        </w:rPr>
        <w:t>期间／版本：文件元数据修改于2026-04-06；不视为调研发生日。</w:t>
        <w:br/>
        <w:t>用途与范围：用于结构与旧稿逐项校核；无出处数字不作为已核实事实。</w:t>
      </w:r>
    </w:p>
    <w:p>
      <w:pPr>
        <w:spacing w:after="40"/>
      </w:pPr>
      <w:r>
        <w:rPr>
          <w:b/>
        </w:rPr>
        <w:t xml:space="preserve">U2  </w:t>
      </w:r>
      <w:r>
        <w:t>墨西哥分期调研.pdf（用户补充材料）</w:t>
      </w:r>
    </w:p>
    <w:p>
      <w:pPr>
        <w:spacing w:after="140"/>
      </w:pPr>
      <w:r>
        <w:rPr>
          <w:sz w:val="17"/>
        </w:rPr>
        <w:t>期间／版本：10页；调查及报价生效日期未提供。</w:t>
        <w:br/>
        <w:t>用途与范围：提供OPPO+Coppel、加纳对照及模型假设；其观点和测算不作为已审计数据。</w:t>
      </w:r>
    </w:p>
    <w:p>
      <w:pPr>
        <w:spacing w:before="60"/>
      </w:pPr>
      <w:r>
        <w:rPr>
          <w:color w:val="586A73"/>
          <w:sz w:val="16"/>
        </w:rPr>
        <w:t>访问受限记录：Coppel首页及信用／合作页面403；CONDUSEF主页503；部分PayJoy外链PDF与注册合同域名被环境限制。相关出处不列为已读全文。S21仅取得标题，正文未作为定价证据。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资料检索截止：2026-10-24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市场研究  /  产品与渠道                           墨西哥手机分期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23B4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87E7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23B4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 w:eastAsia="Noto Sans CJK SC"/>
      <w:color w:val="123B4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8" w:lineRule="auto"/>
    </w:pPr>
    <w:rPr>
      <w:rFonts w:ascii="Calibri" w:hAnsi="Calibri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8" w:lineRule="auto" w:after="120"/>
    </w:pPr>
    <w:rPr>
      <w:rFonts w:ascii="Calibri" w:hAnsi="Calibri" w:eastAsia="Noto Sans CJK SC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inegi.org.mx/contenidos/programas/enif/2024/doc/enif_2024_resultados.pdf" TargetMode="External"/><Relationship Id="rId14" Type="http://schemas.openxmlformats.org/officeDocument/2006/relationships/hyperlink" Target="https://www.inegi.org.mx/contenidos/programas/endutih/2025/doc/presentacion_endutih2025.pdf" TargetMode="External"/><Relationship Id="rId15" Type="http://schemas.openxmlformats.org/officeDocument/2006/relationships/hyperlink" Target="https://counterpointresearch.com/en/insights/mexicos-smartphone-market-declined-9-percent-yoy-in-jan-feb-2026-as-memory-prices-increased-and-economic-hurdles-dampened-consume-demand" TargetMode="External"/><Relationship Id="rId16" Type="http://schemas.openxmlformats.org/officeDocument/2006/relationships/hyperlink" Target="https://counterpointresearch.com/en/insights/samsung-apple-growth-latam-market-q2-2026" TargetMode="External"/><Relationship Id="rId17" Type="http://schemas.openxmlformats.org/officeDocument/2006/relationships/hyperlink" Target="https://gs.statcounter.com/vendor-market-share/mobile/mexico" TargetMode="External"/><Relationship Id="rId18" Type="http://schemas.openxmlformats.org/officeDocument/2006/relationships/hyperlink" Target="https://gs.statcounter.com/faq" TargetMode="External"/><Relationship Id="rId19" Type="http://schemas.openxmlformats.org/officeDocument/2006/relationships/hyperlink" Target="https://www.banxico.org.mx/CAT/" TargetMode="External"/><Relationship Id="rId20" Type="http://schemas.openxmlformats.org/officeDocument/2006/relationships/hyperlink" Target="https://www.payjoy.com/mx/celulares" TargetMode="External"/><Relationship Id="rId21" Type="http://schemas.openxmlformats.org/officeDocument/2006/relationships/hyperlink" Target="https://www.payjoy.com/mx/regulacion" TargetMode="External"/><Relationship Id="rId22" Type="http://schemas.openxmlformats.org/officeDocument/2006/relationships/hyperlink" Target="https://www.payjoy.com/mx/terminos-y-condiciones" TargetMode="External"/><Relationship Id="rId23" Type="http://schemas.openxmlformats.org/officeDocument/2006/relationships/hyperlink" Target="https://www.payjoy.com/mx/sobre-nosotros/nuestro-compromiso" TargetMode="External"/><Relationship Id="rId24" Type="http://schemas.openxmlformats.org/officeDocument/2006/relationships/hyperlink" Target="https://www.payjoy.com/about" TargetMode="External"/><Relationship Id="rId25" Type="http://schemas.openxmlformats.org/officeDocument/2006/relationships/hyperlink" Target="https://www.payjoy.com/newsroom" TargetMode="External"/><Relationship Id="rId26" Type="http://schemas.openxmlformats.org/officeDocument/2006/relationships/hyperlink" Target="https://www.payjoy.com/for-oems" TargetMode="External"/><Relationship Id="rId27" Type="http://schemas.openxmlformats.org/officeDocument/2006/relationships/hyperlink" Target="https://www.payjoy.com/mx/vende-con-payjoy" TargetMode="External"/><Relationship Id="rId28" Type="http://schemas.openxmlformats.org/officeDocument/2006/relationships/hyperlink" Target="https://www.payjoy.com/mx/tarjeta" TargetMode="External"/><Relationship Id="rId29" Type="http://schemas.openxmlformats.org/officeDocument/2006/relationships/hyperlink" Target="https://macropay.mx/preguntas-frecuentes/" TargetMode="External"/><Relationship Id="rId30" Type="http://schemas.openxmlformats.org/officeDocument/2006/relationships/hyperlink" Target="https://macropay.mx/mi-pago-semanal/" TargetMode="External"/><Relationship Id="rId31" Type="http://schemas.openxmlformats.org/officeDocument/2006/relationships/hyperlink" Target="https://macropay.mx/terminos-y-condiciones/" TargetMode="External"/><Relationship Id="rId32" Type="http://schemas.openxmlformats.org/officeDocument/2006/relationships/hyperlink" Target="https://dof.gob.mx/nota_detalle.php?codigo=5752569&amp;fecha=20/03/2025" TargetMode="External"/><Relationship Id="rId33" Type="http://schemas.openxmlformats.org/officeDocument/2006/relationships/hyperlink" Target="https://www.bancoazteca.com.mx/productos/prestamos/prestamo-al-consum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墨西哥手机分期市场与OPPO＋Coppel合作研究</dc:title>
  <dc:subject>公开资料更新与补充材料交叉核验</dc:subject>
  <dc:creator>市场研究</dc:creator>
  <cp:keywords>Mexico, PayJoy, Coppel, OPPO, Macropay, 手机分期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