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after="160"/>
      </w:pPr>
      <w:r>
        <w:rPr>
          <w:rFonts w:ascii="Noto Sans CJK SC" w:hAnsi="Noto Sans CJK SC" w:eastAsia="Noto Sans CJK SC"/>
          <w:b/>
          <w:color w:val="147D85"/>
          <w:sz w:val="18"/>
        </w:rPr>
        <w:t>01  /  交流总览</w:t>
      </w:r>
    </w:p>
    <w:p>
      <w:pPr>
        <w:pStyle w:val="Heading1"/>
        <w:spacing w:before="60" w:after="180" w:line="580" w:lineRule="exact"/>
      </w:pPr>
      <w:r>
        <w:rPr>
          <w:rFonts w:ascii="Noto Sans CJK SC" w:hAnsi="Noto Sans CJK SC" w:eastAsia="Noto Sans CJK SC"/>
          <w:b/>
          <w:color w:val="173649"/>
          <w:sz w:val="46"/>
        </w:rPr>
        <w:t>巴基斯坦与墨西哥</w:t>
        <w:br/>
        <w:t>手机分期市场调研及合作方案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526574"/>
          <w:sz w:val="21"/>
        </w:rPr>
        <w:t>围绕 手机品牌甲 产品、零售渠道与本地资金合作，明确进入路径和验证重点。</w:t>
      </w:r>
    </w:p>
    <w:p>
      <w:pPr>
        <w:spacing w:after="200" w:before="120" w:line="340" w:lineRule="exact"/>
        <w:shd w:fill="EAF4F4"/>
      </w:pPr>
      <w:r>
        <w:rPr>
          <w:rFonts w:ascii="Noto Sans CJK SC" w:hAnsi="Noto Sans CJK SC" w:eastAsia="Noto Sans CJK SC"/>
          <w:b/>
          <w:color w:val="173649"/>
          <w:sz w:val="22"/>
        </w:rPr>
        <w:t>建议路径：以当地资金与合同主体为基础，结合品牌、门店及风控运营能力，先验证增量成交与单笔收益，再决定扩大。</w:t>
      </w:r>
    </w:p>
    <w:p>
      <w:pPr>
        <w:pStyle w:val="Heading2"/>
        <w:spacing w:before="180" w:after="100" w:line="360" w:lineRule="exact"/>
      </w:pPr>
      <w:r>
        <w:rPr>
          <w:rFonts w:ascii="Noto Sans CJK SC" w:hAnsi="Noto Sans CJK SC" w:eastAsia="Noto Sans CJK SC"/>
          <w:b/>
          <w:color w:val="147D85"/>
          <w:sz w:val="24"/>
        </w:rPr>
        <w:t>一、核心判断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147D85"/>
          <w:sz w:val="21"/>
        </w:rPr>
        <w:t xml:space="preserve">需求端  </w:t>
      </w:r>
      <w:r>
        <w:rPr>
          <w:rFonts w:ascii="Noto Sans CJK SC" w:hAnsi="Noto Sans CJK SC" w:eastAsia="Noto Sans CJK SC"/>
          <w:b w:val="0"/>
          <w:color w:val="173649"/>
          <w:sz w:val="21"/>
        </w:rPr>
        <w:t>首付、每期负担与总支付共同影响成交。客户有购机意愿，仍须具备可核验的还款能力。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147D85"/>
          <w:sz w:val="21"/>
        </w:rPr>
        <w:t xml:space="preserve">竞争端  </w:t>
      </w:r>
      <w:r>
        <w:rPr>
          <w:rFonts w:ascii="Noto Sans CJK SC" w:hAnsi="Noto Sans CJK SC" w:eastAsia="Noto Sans CJK SC"/>
          <w:b w:val="0"/>
          <w:color w:val="173649"/>
          <w:sz w:val="21"/>
        </w:rPr>
        <w:t>巴基斯坦重点比较产品定价和门店执行；墨西哥重点比较信用覆盖、支付体验及渠道合作价值。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147D85"/>
          <w:sz w:val="21"/>
        </w:rPr>
        <w:t xml:space="preserve">合作端  </w:t>
      </w:r>
      <w:r>
        <w:rPr>
          <w:rFonts w:ascii="Noto Sans CJK SC" w:hAnsi="Noto Sans CJK SC" w:eastAsia="Noto Sans CJK SC"/>
          <w:b w:val="0"/>
          <w:color w:val="173649"/>
          <w:sz w:val="21"/>
        </w:rPr>
        <w:t>优先评估技术服务或联合运营模式。承担自有资金与信用风险的方案，在完整合同和成熟回款表现支持后另行评估。</w:t>
      </w:r>
    </w:p>
    <w:p>
      <w:pPr>
        <w:pStyle w:val="Heading2"/>
        <w:spacing w:before="180" w:after="100" w:line="360" w:lineRule="exact"/>
      </w:pPr>
      <w:r>
        <w:rPr>
          <w:rFonts w:ascii="Noto Sans CJK SC" w:hAnsi="Noto Sans CJK SC" w:eastAsia="Noto Sans CJK SC"/>
          <w:b/>
          <w:color w:val="147D85"/>
          <w:sz w:val="24"/>
        </w:rPr>
        <w:t>二、双市场定位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252"/>
        <w:gridCol w:w="4252"/>
      </w:tblGrid>
      <w:tr>
        <w:trPr>
          <w:cantSplit/>
          <w:tblHeader/>
        </w:trPr>
        <w:tc>
          <w:tcPr>
            <w:tcW w:type="dxa" w:w="1361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252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巴基斯坦</w:t>
            </w:r>
          </w:p>
        </w:tc>
        <w:tc>
          <w:tcPr>
            <w:tcW w:type="dxa" w:w="4252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墨西哥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建议切入</w:t>
            </w:r>
          </w:p>
        </w:tc>
        <w:tc>
          <w:tcPr>
            <w:tcW w:type="dxa" w:w="4252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中低价 手机品牌甲 机型与可核验收入客群。</w:t>
            </w:r>
          </w:p>
        </w:tc>
        <w:tc>
          <w:tcPr>
            <w:tcW w:type="dxa" w:w="4252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品牌与零售渠道的增量购机场景。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重点对象</w:t>
            </w:r>
          </w:p>
        </w:tc>
        <w:tc>
          <w:tcPr>
            <w:tcW w:type="dxa" w:w="425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巴方平台甲、巴方平台乙 及合作门店。</w:t>
            </w:r>
          </w:p>
        </w:tc>
        <w:tc>
          <w:tcPr>
            <w:tcW w:type="dxa" w:w="425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墨方平台甲、墨方平台乙；拟评估 手机品牌甲＋零售渠道甲。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产品关注</w:t>
            </w:r>
          </w:p>
        </w:tc>
        <w:tc>
          <w:tcPr>
            <w:tcW w:type="dxa" w:w="4252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首付、月供、期限和全期总支付。</w:t>
            </w:r>
          </w:p>
        </w:tc>
        <w:tc>
          <w:tcPr>
            <w:tcW w:type="dxa" w:w="4252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信用准入、周付体验、渠道结算与设备服务。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首先验证</w:t>
            </w:r>
          </w:p>
        </w:tc>
        <w:tc>
          <w:tcPr>
            <w:tcW w:type="dxa" w:w="425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报价可比、审批可用、客户可负担。</w:t>
            </w:r>
          </w:p>
        </w:tc>
        <w:tc>
          <w:tcPr>
            <w:tcW w:type="dxa" w:w="425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渠道确有增量、权责清晰、费用可覆盖。</w:t>
            </w:r>
          </w:p>
        </w:tc>
      </w:tr>
    </w:tbl>
    <w:p>
      <w:pPr>
        <w:spacing w:after="140"/>
      </w:pPr>
      <w:r>
        <w:rPr>
          <w:rFonts w:ascii="Noto Sans CJK SC" w:hAnsi="Noto Sans CJK SC" w:eastAsia="Noto Sans CJK SC"/>
          <w:b w:val="0"/>
          <w:color w:val="526574"/>
          <w:sz w:val="18"/>
        </w:rPr>
        <w:t>本方案用于商业交流与调研执行。合作安排、抽样规模和实施节奏为建议，具体以各方确认及当地适用要求为准。</w:t>
      </w:r>
    </w:p>
    <w:p>
      <w:pPr>
        <w:pageBreakBefore/>
        <w:spacing w:after="160"/>
      </w:pPr>
      <w:r>
        <w:rPr>
          <w:rFonts w:ascii="Noto Sans CJK SC" w:hAnsi="Noto Sans CJK SC" w:eastAsia="Noto Sans CJK SC"/>
          <w:b/>
          <w:color w:val="147D85"/>
          <w:sz w:val="18"/>
        </w:rPr>
        <w:t>02  /  巴基斯坦</w:t>
      </w:r>
    </w:p>
    <w:p>
      <w:pPr>
        <w:pStyle w:val="Heading1"/>
        <w:spacing w:before="60" w:after="180" w:line="580" w:lineRule="exact"/>
      </w:pPr>
      <w:r>
        <w:rPr>
          <w:rFonts w:ascii="Noto Sans CJK SC" w:hAnsi="Noto Sans CJK SC" w:eastAsia="Noto Sans CJK SC"/>
          <w:b/>
          <w:color w:val="173649"/>
          <w:sz w:val="42"/>
        </w:rPr>
        <w:t>巴基斯坦：从产品与门店切入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526574"/>
          <w:sz w:val="21"/>
        </w:rPr>
        <w:t>优先验证中低价机型、首付承受能力和申请到交机的实际转化。</w:t>
      </w:r>
    </w:p>
    <w:p>
      <w:pPr>
        <w:pStyle w:val="Heading2"/>
        <w:spacing w:before="180" w:after="100" w:line="360" w:lineRule="exact"/>
      </w:pPr>
      <w:r>
        <w:rPr>
          <w:rFonts w:ascii="Noto Sans CJK SC" w:hAnsi="Noto Sans CJK SC" w:eastAsia="Noto Sans CJK SC"/>
          <w:b/>
          <w:color w:val="147D85"/>
          <w:sz w:val="24"/>
        </w:rPr>
        <w:t>一、重点平台与产品取舍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4309"/>
      </w:tblGrid>
      <w:tr>
        <w:trPr>
          <w:cantSplit/>
          <w:tblHeader/>
        </w:trPr>
        <w:tc>
          <w:tcPr>
            <w:tcW w:type="dxa" w:w="1474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4082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方案特征</w:t>
            </w:r>
          </w:p>
        </w:tc>
        <w:tc>
          <w:tcPr>
            <w:tcW w:type="dxa" w:w="4309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合作评估重点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巴方平台甲</w:t>
            </w:r>
          </w:p>
        </w:tc>
        <w:tc>
          <w:tcPr>
            <w:tcW w:type="dxa" w:w="4082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手机品牌甲 方案样本首付约20%–30%；期限随机型变化，部分低价机仅列3、6期。</w:t>
            </w:r>
          </w:p>
        </w:tc>
        <w:tc>
          <w:tcPr>
            <w:tcW w:type="dxa" w:w="4309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收入核验要求、实际审批时效、当前服务城市与完整收费。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巴方平台乙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手机品牌甲 方案样本涵盖3、6、9、12期；较长期限通常对应较低首付。</w:t>
            </w:r>
          </w:p>
        </w:tc>
        <w:tc>
          <w:tcPr>
            <w:tcW w:type="dxa" w:w="430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同款总支付、首付与月供组合，以及合同、退货和售后。</w:t>
            </w:r>
          </w:p>
        </w:tc>
      </w:tr>
    </w:tbl>
    <w:p>
      <w:pPr>
        <w:pStyle w:val="Heading2"/>
        <w:spacing w:before="180" w:after="100" w:line="360" w:lineRule="exact"/>
      </w:pPr>
      <w:r>
        <w:rPr>
          <w:rFonts w:ascii="Noto Sans CJK SC" w:hAnsi="Noto Sans CJK SC" w:eastAsia="Noto Sans CJK SC"/>
          <w:b/>
          <w:color w:val="147D85"/>
          <w:sz w:val="24"/>
        </w:rPr>
        <w:t>二、同款十二期方案示例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173649"/>
          <w:sz w:val="20"/>
        </w:rPr>
        <w:t>手机品牌甲 机型M1（6+128）；现金价 40,999 巴基斯坦卢比（PKR）。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74"/>
        <w:gridCol w:w="1474"/>
        <w:gridCol w:w="2268"/>
        <w:gridCol w:w="2608"/>
      </w:tblGrid>
      <w:tr>
        <w:trPr>
          <w:cantSplit/>
          <w:tblHeader/>
        </w:trPr>
        <w:tc>
          <w:tcPr>
            <w:tcW w:type="dxa" w:w="2041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平台</w:t>
            </w:r>
          </w:p>
        </w:tc>
        <w:tc>
          <w:tcPr>
            <w:tcW w:type="dxa" w:w="1474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首付</w:t>
            </w:r>
          </w:p>
        </w:tc>
        <w:tc>
          <w:tcPr>
            <w:tcW w:type="dxa" w:w="1474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月供</w:t>
            </w:r>
          </w:p>
        </w:tc>
        <w:tc>
          <w:tcPr>
            <w:tcW w:type="dxa" w:w="2268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总支付</w:t>
            </w:r>
          </w:p>
        </w:tc>
        <w:tc>
          <w:tcPr>
            <w:tcW w:type="dxa" w:w="2608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较现金价多付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巴方平台乙</w:t>
            </w:r>
          </w:p>
        </w:tc>
        <w:tc>
          <w:tcPr>
            <w:tcW w:type="dxa" w:w="1474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5,900</w:t>
            </w:r>
          </w:p>
        </w:tc>
        <w:tc>
          <w:tcPr>
            <w:tcW w:type="dxa" w:w="1474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4,300</w:t>
            </w:r>
          </w:p>
        </w:tc>
        <w:tc>
          <w:tcPr>
            <w:tcW w:type="dxa" w:w="2268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57,500</w:t>
            </w:r>
          </w:p>
        </w:tc>
        <w:tc>
          <w:tcPr>
            <w:tcW w:type="dxa" w:w="2608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16,501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巴方平台甲</w:t>
            </w:r>
          </w:p>
        </w:tc>
        <w:tc>
          <w:tcPr>
            <w:tcW w:type="dxa" w:w="147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约8,200</w:t>
            </w:r>
          </w:p>
        </w:tc>
        <w:tc>
          <w:tcPr>
            <w:tcW w:type="dxa" w:w="147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4,209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约58,708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约17,709</w:t>
            </w:r>
          </w:p>
        </w:tc>
      </w:tr>
    </w:tbl>
    <w:p>
      <w:pPr>
        <w:spacing w:after="140"/>
      </w:pPr>
      <w:r>
        <w:rPr>
          <w:rFonts w:ascii="Noto Sans CJK SC" w:hAnsi="Noto Sans CJK SC" w:eastAsia="Noto Sans CJK SC"/>
          <w:b w:val="0"/>
          <w:color w:val="526574"/>
          <w:sz w:val="17"/>
        </w:rPr>
        <w:t>金额均为PKR，按首付＋12×月供计算并取整，不含未列费用。以上为历史方案示例，仅用于比较产品结构，正式交流报价需更新。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173649"/>
          <w:sz w:val="20"/>
        </w:rPr>
        <w:t>该示例中，巴方平台乙 的首付和总支付较低，巴方平台甲 的月供略低。选择方案应同时考虑收入、现有债务、实际费用与售后条件。</w:t>
      </w:r>
    </w:p>
    <w:p>
      <w:pPr>
        <w:pStyle w:val="Heading2"/>
        <w:spacing w:before="180" w:after="100" w:line="360" w:lineRule="exact"/>
      </w:pPr>
      <w:r>
        <w:rPr>
          <w:rFonts w:ascii="Noto Sans CJK SC" w:hAnsi="Noto Sans CJK SC" w:eastAsia="Noto Sans CJK SC"/>
          <w:b/>
          <w:color w:val="147D85"/>
          <w:sz w:val="24"/>
        </w:rPr>
        <w:t>三、建议进入方式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147D85"/>
          <w:sz w:val="21"/>
        </w:rPr>
        <w:t xml:space="preserve">产品  </w:t>
      </w:r>
      <w:r>
        <w:rPr>
          <w:rFonts w:ascii="Noto Sans CJK SC" w:hAnsi="Noto Sans CJK SC" w:eastAsia="Noto Sans CJK SC"/>
          <w:b w:val="0"/>
          <w:color w:val="173649"/>
          <w:sz w:val="21"/>
        </w:rPr>
        <w:t>先评估 机型M1（6+128）、机型M2（8+128）／M3（8+256） 等可严格比较的机型；中高端系列 单独验证需求与可负担性。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147D85"/>
          <w:sz w:val="21"/>
        </w:rPr>
        <w:t xml:space="preserve">客群  </w:t>
      </w:r>
      <w:r>
        <w:rPr>
          <w:rFonts w:ascii="Noto Sans CJK SC" w:hAnsi="Noto Sans CJK SC" w:eastAsia="Noto Sans CJK SC"/>
          <w:b w:val="0"/>
          <w:color w:val="173649"/>
          <w:sz w:val="21"/>
        </w:rPr>
        <w:t>优先覆盖成年、收入可核验且有明确换机需要的人群；小商户结合经营收款评估。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147D85"/>
          <w:sz w:val="21"/>
        </w:rPr>
        <w:t xml:space="preserve">渠道  </w:t>
      </w:r>
      <w:r>
        <w:rPr>
          <w:rFonts w:ascii="Noto Sans CJK SC" w:hAnsi="Noto Sans CJK SC" w:eastAsia="Noto Sans CJK SC"/>
          <w:b w:val="0"/>
          <w:color w:val="173649"/>
          <w:sz w:val="21"/>
        </w:rPr>
        <w:t>先核实拉合尔、伊斯兰堡、拉瓦尔品第的可合作门店，再确定试点城市；逐店确认库存、审批、交机、结算及退款。</w:t>
      </w:r>
    </w:p>
    <w:p>
      <w:pPr>
        <w:pageBreakBefore/>
        <w:spacing w:after="160"/>
      </w:pPr>
      <w:r>
        <w:rPr>
          <w:rFonts w:ascii="Noto Sans CJK SC" w:hAnsi="Noto Sans CJK SC" w:eastAsia="Noto Sans CJK SC"/>
          <w:b/>
          <w:color w:val="147D85"/>
          <w:sz w:val="18"/>
        </w:rPr>
        <w:t>03  /  墨西哥</w:t>
      </w:r>
    </w:p>
    <w:p>
      <w:pPr>
        <w:pStyle w:val="Heading1"/>
        <w:spacing w:before="60" w:after="180" w:line="580" w:lineRule="exact"/>
      </w:pPr>
      <w:r>
        <w:rPr>
          <w:rFonts w:ascii="Noto Sans CJK SC" w:hAnsi="Noto Sans CJK SC" w:eastAsia="Noto Sans CJK SC"/>
          <w:b/>
          <w:color w:val="173649"/>
          <w:sz w:val="42"/>
        </w:rPr>
        <w:t>墨西哥：围绕渠道验证增量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526574"/>
          <w:sz w:val="21"/>
        </w:rPr>
        <w:t>重点研究信用覆盖差异与还款便利性，形成品牌、零售与资金方可协作的产品。</w:t>
      </w:r>
    </w:p>
    <w:p>
      <w:pPr>
        <w:pStyle w:val="Heading2"/>
        <w:spacing w:before="180" w:after="100" w:line="360" w:lineRule="exact"/>
      </w:pPr>
      <w:r>
        <w:rPr>
          <w:rFonts w:ascii="Noto Sans CJK SC" w:hAnsi="Noto Sans CJK SC" w:eastAsia="Noto Sans CJK SC"/>
          <w:b/>
          <w:color w:val="147D85"/>
          <w:sz w:val="24"/>
        </w:rPr>
        <w:t>一、市场背景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458"/>
        <w:gridCol w:w="4365"/>
      </w:tblGrid>
      <w:tr>
        <w:trPr>
          <w:cantSplit/>
          <w:tblHeader/>
        </w:trPr>
        <w:tc>
          <w:tcPr>
            <w:tcW w:type="dxa" w:w="2041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58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数值与口径</w:t>
            </w:r>
          </w:p>
        </w:tc>
        <w:tc>
          <w:tcPr>
            <w:tcW w:type="dxa" w:w="4365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业务含义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手机使用率</w:t>
            </w:r>
          </w:p>
        </w:tc>
        <w:tc>
          <w:tcPr>
            <w:tcW w:type="dxa" w:w="3458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84.6%；2025年，6岁及以上人口。</w:t>
            </w:r>
          </w:p>
        </w:tc>
        <w:tc>
          <w:tcPr>
            <w:tcW w:type="dxa" w:w="4365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数字触达基础较好，仍需区分换机需求与授信需求。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正规信贷持有率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37.3%；2024年，18–70岁人群。</w:t>
            </w:r>
          </w:p>
        </w:tc>
        <w:tc>
          <w:tcPr>
            <w:tcW w:type="dxa" w:w="436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信用覆盖存在差异，可贷客户仍须逐笔筛选。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银行信用卡持有率</w:t>
            </w:r>
          </w:p>
        </w:tc>
        <w:tc>
          <w:tcPr>
            <w:tcW w:type="dxa" w:w="3458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15.7%；2024年，18–70岁人群。</w:t>
            </w:r>
          </w:p>
        </w:tc>
        <w:tc>
          <w:tcPr>
            <w:tcW w:type="dxa" w:w="4365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非信用卡分期值得评估，需同时比较商店信用与其他替代方案。</w:t>
            </w:r>
          </w:p>
        </w:tc>
      </w:tr>
    </w:tbl>
    <w:p>
      <w:pPr>
        <w:pStyle w:val="Heading2"/>
        <w:spacing w:before="180" w:after="100" w:line="360" w:lineRule="exact"/>
      </w:pPr>
      <w:r>
        <w:rPr>
          <w:rFonts w:ascii="Noto Sans CJK SC" w:hAnsi="Noto Sans CJK SC" w:eastAsia="Noto Sans CJK SC"/>
          <w:b/>
          <w:color w:val="147D85"/>
          <w:sz w:val="24"/>
        </w:rPr>
        <w:t>二、竞争与合作对象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742"/>
        <w:gridCol w:w="4082"/>
      </w:tblGrid>
      <w:tr>
        <w:trPr>
          <w:cantSplit/>
          <w:tblHeader/>
        </w:trPr>
        <w:tc>
          <w:tcPr>
            <w:tcW w:type="dxa" w:w="2041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742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产品或合作定位</w:t>
            </w:r>
          </w:p>
        </w:tc>
        <w:tc>
          <w:tcPr>
            <w:tcW w:type="dxa" w:w="4082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应重点确认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墨方平台甲</w:t>
            </w:r>
          </w:p>
        </w:tc>
        <w:tc>
          <w:tcPr>
            <w:tcW w:type="dxa" w:w="3742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参考手机产品首付15%–20%、周付，结合门店和设备服务。</w:t>
            </w:r>
          </w:p>
        </w:tc>
        <w:tc>
          <w:tcPr>
            <w:tcW w:type="dxa" w:w="4082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完整支付计划、合同性质、附加费用与设备限制及恢复流程。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墨方平台乙</w:t>
            </w:r>
          </w:p>
        </w:tc>
        <w:tc>
          <w:tcPr>
            <w:tcW w:type="dxa" w:w="374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参考方案为3／6／9／12个月、按周付款。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逐款首付、总支付、到账与恢复体验。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零售渠道甲</w:t>
            </w:r>
          </w:p>
        </w:tc>
        <w:tc>
          <w:tcPr>
            <w:tcW w:type="dxa" w:w="3742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拟评估的品牌及零售合作渠道。</w:t>
            </w:r>
          </w:p>
        </w:tc>
        <w:tc>
          <w:tcPr>
            <w:tcW w:type="dxa" w:w="4082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现有信用产品、可开放的客群、结算与费用分配。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零售渠道乙／合作银行甲</w:t>
            </w:r>
          </w:p>
        </w:tc>
        <w:tc>
          <w:tcPr>
            <w:tcW w:type="dxa" w:w="374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纳入替代融资方案比较。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具体商品合同、现行报价、准入与还款安排。</w:t>
            </w:r>
          </w:p>
        </w:tc>
      </w:tr>
    </w:tbl>
    <w:p>
      <w:pPr>
        <w:spacing w:after="140"/>
      </w:pPr>
      <w:r>
        <w:rPr>
          <w:rFonts w:ascii="Noto Sans CJK SC" w:hAnsi="Noto Sans CJK SC" w:eastAsia="Noto Sans CJK SC"/>
          <w:b w:val="0"/>
          <w:color w:val="526574"/>
          <w:sz w:val="17"/>
        </w:rPr>
        <w:t>上述产品参数用于模式比较，实际按机型及合同确认；付款频率应写明日期，每14天付款与每月两次付款分别计算。</w:t>
      </w:r>
    </w:p>
    <w:p>
      <w:pPr>
        <w:pStyle w:val="Heading2"/>
        <w:spacing w:before="180" w:after="100" w:line="360" w:lineRule="exact"/>
      </w:pPr>
      <w:r>
        <w:rPr>
          <w:rFonts w:ascii="Noto Sans CJK SC" w:hAnsi="Noto Sans CJK SC" w:eastAsia="Noto Sans CJK SC"/>
          <w:b/>
          <w:color w:val="147D85"/>
          <w:sz w:val="24"/>
        </w:rPr>
        <w:t>三、手机品牌甲＋零售渠道甲 的拟议合作方向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173649"/>
          <w:sz w:val="20"/>
        </w:rPr>
        <w:t>先研究原渠道信用覆盖不足、但具备可核验偿付能力的增量客群。区分额度不足、信用记录较少与欺诈或无还款能力等原因，建立明确的准入与排除规则。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173649"/>
          <w:sz w:val="20"/>
        </w:rPr>
        <w:t>以少量机型和门店验证真实新增成交，并事先约定供货、补贴、资金、债权、退款及数据处理责任。合作是否落地，以双方商务与合同确认为准。</w:t>
      </w:r>
    </w:p>
    <w:p>
      <w:pPr>
        <w:pageBreakBefore/>
        <w:spacing w:after="160"/>
      </w:pPr>
      <w:r>
        <w:rPr>
          <w:rFonts w:ascii="Noto Sans CJK SC" w:hAnsi="Noto Sans CJK SC" w:eastAsia="Noto Sans CJK SC"/>
          <w:b/>
          <w:color w:val="147D85"/>
          <w:sz w:val="18"/>
        </w:rPr>
        <w:t>04  /  合作模式</w:t>
      </w:r>
    </w:p>
    <w:p>
      <w:pPr>
        <w:pStyle w:val="Heading1"/>
        <w:spacing w:before="60" w:after="180" w:line="580" w:lineRule="exact"/>
      </w:pPr>
      <w:r>
        <w:rPr>
          <w:rFonts w:ascii="Noto Sans CJK SC" w:hAnsi="Noto Sans CJK SC" w:eastAsia="Noto Sans CJK SC"/>
          <w:b/>
          <w:color w:val="173649"/>
          <w:sz w:val="42"/>
        </w:rPr>
        <w:t>合作模式与收益评价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526574"/>
          <w:sz w:val="21"/>
        </w:rPr>
        <w:t>先明确各方角色，再决定系统投入、资金投入和收益分配。</w:t>
      </w:r>
    </w:p>
    <w:p>
      <w:pPr>
        <w:pStyle w:val="Heading2"/>
        <w:spacing w:before="180" w:after="100" w:line="360" w:lineRule="exact"/>
      </w:pPr>
      <w:r>
        <w:rPr>
          <w:rFonts w:ascii="Noto Sans CJK SC" w:hAnsi="Noto Sans CJK SC" w:eastAsia="Noto Sans CJK SC"/>
          <w:b/>
          <w:color w:val="147D85"/>
          <w:sz w:val="24"/>
        </w:rPr>
        <w:t>一、建议优先评估的分工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798"/>
        <w:gridCol w:w="4025"/>
      </w:tblGrid>
      <w:tr>
        <w:trPr>
          <w:cantSplit/>
          <w:tblHeader/>
        </w:trPr>
        <w:tc>
          <w:tcPr>
            <w:tcW w:type="dxa" w:w="2041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798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拟承担职责</w:t>
            </w:r>
          </w:p>
        </w:tc>
        <w:tc>
          <w:tcPr>
            <w:tcW w:type="dxa" w:w="4025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需确认的商业条件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品牌方</w:t>
            </w:r>
          </w:p>
        </w:tc>
        <w:tc>
          <w:tcPr>
            <w:tcW w:type="dxa" w:w="3798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适销机型、供货、保修及门店支持。</w:t>
            </w:r>
          </w:p>
        </w:tc>
        <w:tc>
          <w:tcPr>
            <w:tcW w:type="dxa" w:w="4025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现金价、供货价、补贴金额及结算条件。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门店／渠道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客户引导、首付、交机与售后协同。</w:t>
            </w:r>
          </w:p>
        </w:tc>
        <w:tc>
          <w:tcPr>
            <w:tcW w:type="dxa" w:w="402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服务费用、收款路径、库存及退货责任。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当地资金／合同主体</w:t>
            </w:r>
          </w:p>
        </w:tc>
        <w:tc>
          <w:tcPr>
            <w:tcW w:type="dxa" w:w="3798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承担约定的资金、授信及合同责任。</w:t>
            </w:r>
          </w:p>
        </w:tc>
        <w:tc>
          <w:tcPr>
            <w:tcW w:type="dxa" w:w="4025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债权归属、信用损失、回购追索与投诉责任。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技术／运营服务方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按约定提供系统、风控支持、贷后与对账服务。</w:t>
            </w:r>
          </w:p>
        </w:tc>
        <w:tc>
          <w:tcPr>
            <w:tcW w:type="dxa" w:w="402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服务费或分润、数据处理边界、服务标准及责任上限。</w:t>
            </w:r>
          </w:p>
        </w:tc>
      </w:tr>
    </w:tbl>
    <w:p>
      <w:pPr>
        <w:pStyle w:val="Heading2"/>
        <w:spacing w:before="180" w:after="100" w:line="360" w:lineRule="exact"/>
      </w:pPr>
      <w:r>
        <w:rPr>
          <w:rFonts w:ascii="Noto Sans CJK SC" w:hAnsi="Noto Sans CJK SC" w:eastAsia="Noto Sans CJK SC"/>
          <w:b/>
          <w:color w:val="147D85"/>
          <w:sz w:val="24"/>
        </w:rPr>
        <w:t>二、每笔业务同时算清三件事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147D85"/>
          <w:sz w:val="21"/>
        </w:rPr>
        <w:t xml:space="preserve">客户成本  </w:t>
      </w:r>
      <w:r>
        <w:rPr>
          <w:rFonts w:ascii="Noto Sans CJK SC" w:hAnsi="Noto Sans CJK SC" w:eastAsia="Noto Sans CJK SC"/>
          <w:b w:val="0"/>
          <w:color w:val="173649"/>
          <w:sz w:val="21"/>
        </w:rPr>
        <w:t>统一展示现金价、首付、付款日期、各期金额、全部费用和总支付；需要年化比较时，按完整现金流和当地适用口径计算。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147D85"/>
          <w:sz w:val="21"/>
        </w:rPr>
        <w:t xml:space="preserve">渠道收益  </w:t>
      </w:r>
      <w:r>
        <w:rPr>
          <w:rFonts w:ascii="Noto Sans CJK SC" w:hAnsi="Noto Sans CJK SC" w:eastAsia="Noto Sans CJK SC"/>
          <w:b w:val="0"/>
          <w:color w:val="173649"/>
          <w:sz w:val="21"/>
        </w:rPr>
        <w:t>按实际采购、结算、税费、履约、退货和佣金核算；零售层级价差及消费者融资加价分别确认归属。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147D85"/>
          <w:sz w:val="21"/>
        </w:rPr>
        <w:t xml:space="preserve">项目贡献  </w:t>
      </w:r>
      <w:r>
        <w:rPr>
          <w:rFonts w:ascii="Noto Sans CJK SC" w:hAnsi="Noto Sans CJK SC" w:eastAsia="Noto Sans CJK SC"/>
          <w:b w:val="0"/>
          <w:color w:val="173649"/>
          <w:sz w:val="21"/>
        </w:rPr>
        <w:t>依据合同角色核算归属收入，扣除资金、渠道、支付、信用损失、运营及税费；以正常、回款延迟、损失上升情景检验可持续性。</w:t>
      </w:r>
    </w:p>
    <w:p>
      <w:pPr>
        <w:pStyle w:val="Heading2"/>
        <w:spacing w:before="180" w:after="100" w:line="360" w:lineRule="exact"/>
      </w:pPr>
      <w:r>
        <w:rPr>
          <w:rFonts w:ascii="Noto Sans CJK SC" w:hAnsi="Noto Sans CJK SC" w:eastAsia="Noto Sans CJK SC"/>
          <w:b/>
          <w:color w:val="147D85"/>
          <w:sz w:val="24"/>
        </w:rPr>
        <w:t>三、投放前完成的共同确认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173649"/>
          <w:sz w:val="20"/>
        </w:rPr>
        <w:t>明确合同与适用资格、费用披露、数据授权、支付及退款、投诉处理和责任分工。涉及设备管控的，完成机型兼容、准时还款不误限、恢复、结清及紧急使用测试。</w:t>
      </w:r>
    </w:p>
    <w:p>
      <w:pPr>
        <w:spacing w:after="200" w:before="120" w:line="340" w:lineRule="exact"/>
        <w:shd w:fill="EAF4F4"/>
      </w:pPr>
      <w:r>
        <w:rPr>
          <w:rFonts w:ascii="Noto Sans CJK SC" w:hAnsi="Noto Sans CJK SC" w:eastAsia="Noto Sans CJK SC"/>
          <w:b/>
          <w:color w:val="173649"/>
          <w:sz w:val="22"/>
        </w:rPr>
        <w:t>首次合作以有限门店、少量机型和明确风险预算开展。服务范围、可操作权限与风险承担均落实到合同及验收记录。</w:t>
      </w:r>
    </w:p>
    <w:p>
      <w:pPr>
        <w:pageBreakBefore/>
        <w:spacing w:after="160"/>
      </w:pPr>
      <w:r>
        <w:rPr>
          <w:rFonts w:ascii="Noto Sans CJK SC" w:hAnsi="Noto Sans CJK SC" w:eastAsia="Noto Sans CJK SC"/>
          <w:b/>
          <w:color w:val="147D85"/>
          <w:sz w:val="18"/>
        </w:rPr>
        <w:t>05  /  调研执行</w:t>
      </w:r>
    </w:p>
    <w:p>
      <w:pPr>
        <w:pStyle w:val="Heading1"/>
        <w:spacing w:before="60" w:after="180" w:line="580" w:lineRule="exact"/>
      </w:pPr>
      <w:r>
        <w:rPr>
          <w:rFonts w:ascii="Noto Sans CJK SC" w:hAnsi="Noto Sans CJK SC" w:eastAsia="Noto Sans CJK SC"/>
          <w:b/>
          <w:color w:val="173649"/>
          <w:sz w:val="42"/>
        </w:rPr>
        <w:t>调研执行方案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526574"/>
          <w:sz w:val="21"/>
        </w:rPr>
        <w:t>建议采用四周完成商业与流程调研，形成可供试点评审的方案包。</w:t>
      </w:r>
    </w:p>
    <w:p>
      <w:pPr>
        <w:pStyle w:val="Heading2"/>
        <w:spacing w:before="180" w:after="100" w:line="360" w:lineRule="exact"/>
      </w:pPr>
      <w:r>
        <w:rPr>
          <w:rFonts w:ascii="Noto Sans CJK SC" w:hAnsi="Noto Sans CJK SC" w:eastAsia="Noto Sans CJK SC"/>
          <w:b/>
          <w:color w:val="147D85"/>
          <w:sz w:val="24"/>
        </w:rPr>
        <w:t>一、调研范围与建议抽样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4195"/>
      </w:tblGrid>
      <w:tr>
        <w:trPr>
          <w:cantSplit/>
          <w:tblHeader/>
        </w:trPr>
        <w:tc>
          <w:tcPr>
            <w:tcW w:type="dxa" w:w="1701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969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每国建议范围</w:t>
            </w:r>
          </w:p>
        </w:tc>
        <w:tc>
          <w:tcPr>
            <w:tcW w:type="dxa" w:w="4195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应形成的结果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平台及报价</w:t>
            </w:r>
          </w:p>
        </w:tc>
        <w:tc>
          <w:tcPr>
            <w:tcW w:type="dxa" w:w="3969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至少2种分期方案、3款严格同款机型，形成至少6组完整报价。</w:t>
            </w:r>
          </w:p>
        </w:tc>
        <w:tc>
          <w:tcPr>
            <w:tcW w:type="dxa" w:w="4195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现金价、首付、日期、各期金额、费用、退货与结清条件。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零售渠道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走访5–8家候选门店，兼顾不同经营情况。</w:t>
            </w:r>
          </w:p>
        </w:tc>
        <w:tc>
          <w:tcPr>
            <w:tcW w:type="dxa" w:w="419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实销机型、申请到交机流程、分成、结算及服务成本。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目标客户</w:t>
            </w:r>
          </w:p>
        </w:tc>
        <w:tc>
          <w:tcPr>
            <w:tcW w:type="dxa" w:w="3969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访谈12–20名成年潜在购机者，兼顾成交与未成交者。</w:t>
            </w:r>
          </w:p>
        </w:tc>
        <w:tc>
          <w:tcPr>
            <w:tcW w:type="dxa" w:w="4195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购机原因、首付预算、可承受期供、收入频率及顾虑。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合作方能力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覆盖拟合作资金、合同、技术及运营责任方。</w:t>
            </w:r>
          </w:p>
        </w:tc>
        <w:tc>
          <w:tcPr>
            <w:tcW w:type="dxa" w:w="419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主体资格、可提供能力、数据边界与合作条件。</w:t>
            </w:r>
          </w:p>
        </w:tc>
      </w:tr>
    </w:tbl>
    <w:p>
      <w:pPr>
        <w:spacing w:after="140"/>
      </w:pPr>
      <w:r>
        <w:rPr>
          <w:rFonts w:ascii="Noto Sans CJK SC" w:hAnsi="Noto Sans CJK SC" w:eastAsia="Noto Sans CJK SC"/>
          <w:b w:val="0"/>
          <w:color w:val="526574"/>
          <w:sz w:val="17"/>
        </w:rPr>
        <w:t>样本用于产品与流程验证，按可进入渠道落实；结果不直接外推全国市场规模。调研记录使用匿名编号及必要的区间信息。</w:t>
      </w:r>
    </w:p>
    <w:p>
      <w:pPr>
        <w:pStyle w:val="Heading2"/>
        <w:spacing w:before="180" w:after="100" w:line="360" w:lineRule="exact"/>
      </w:pPr>
      <w:r>
        <w:rPr>
          <w:rFonts w:ascii="Noto Sans CJK SC" w:hAnsi="Noto Sans CJK SC" w:eastAsia="Noto Sans CJK SC"/>
          <w:b/>
          <w:color w:val="147D85"/>
          <w:sz w:val="24"/>
        </w:rPr>
        <w:t>二、四周安排与交付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4649"/>
        <w:gridCol w:w="4025"/>
      </w:tblGrid>
      <w:tr>
        <w:trPr>
          <w:cantSplit/>
          <w:tblHeader/>
        </w:trPr>
        <w:tc>
          <w:tcPr>
            <w:tcW w:type="dxa" w:w="1191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649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4025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交付结果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第1周</w:t>
            </w:r>
          </w:p>
        </w:tc>
        <w:tc>
          <w:tcPr>
            <w:tcW w:type="dxa" w:w="4649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确认合作对象、机型、报价及合同要素，统一访谈与比较口径。</w:t>
            </w:r>
          </w:p>
        </w:tc>
        <w:tc>
          <w:tcPr>
            <w:tcW w:type="dxa" w:w="4025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调研清单、同款报价模板、合同要素表。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第2周</w:t>
            </w:r>
          </w:p>
        </w:tc>
        <w:tc>
          <w:tcPr>
            <w:tcW w:type="dxa" w:w="464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完成门店及客户访谈，验证申请、付款、交机及售后路径。</w:t>
            </w:r>
          </w:p>
        </w:tc>
        <w:tc>
          <w:tcPr>
            <w:tcW w:type="dxa" w:w="402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客户需求摘要、门店流程与问题清单。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第3周</w:t>
            </w:r>
          </w:p>
        </w:tc>
        <w:tc>
          <w:tcPr>
            <w:tcW w:type="dxa" w:w="4649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比较产品总成本，测算各方收益，完成技术与服务演练。</w:t>
            </w:r>
          </w:p>
        </w:tc>
        <w:tc>
          <w:tcPr>
            <w:tcW w:type="dxa" w:w="4025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产品对比表、单笔模型、权责与验收表。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第4周</w:t>
            </w:r>
          </w:p>
        </w:tc>
        <w:tc>
          <w:tcPr>
            <w:tcW w:type="dxa" w:w="464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汇总两国进入条件、问题整改与试点参数，组织联合评审。</w:t>
            </w:r>
          </w:p>
        </w:tc>
        <w:tc>
          <w:tcPr>
            <w:tcW w:type="dxa" w:w="402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分国合作建议、试点预算及继续／调整／暂缓意见。</w:t>
            </w:r>
          </w:p>
        </w:tc>
      </w:tr>
    </w:tbl>
    <w:p>
      <w:pPr>
        <w:spacing w:after="140"/>
      </w:pPr>
      <w:r>
        <w:rPr>
          <w:rFonts w:ascii="Noto Sans CJK SC" w:hAnsi="Noto Sans CJK SC" w:eastAsia="Noto Sans CJK SC"/>
          <w:b w:val="0"/>
          <w:color w:val="526574"/>
          <w:sz w:val="18"/>
        </w:rPr>
        <w:t>以上为建议执行节奏，取得当前报价、合同及合作方配合后启动；真实客户投放须在评审通过后另行开展。</w:t>
      </w:r>
    </w:p>
    <w:p>
      <w:pPr>
        <w:pageBreakBefore/>
        <w:spacing w:after="160"/>
      </w:pPr>
      <w:r>
        <w:rPr>
          <w:rFonts w:ascii="Noto Sans CJK SC" w:hAnsi="Noto Sans CJK SC" w:eastAsia="Noto Sans CJK SC"/>
          <w:b/>
          <w:color w:val="147D85"/>
          <w:sz w:val="18"/>
        </w:rPr>
        <w:t>06  /  试点与决策</w:t>
      </w:r>
    </w:p>
    <w:p>
      <w:pPr>
        <w:pStyle w:val="Heading1"/>
        <w:spacing w:before="60" w:after="180" w:line="580" w:lineRule="exact"/>
      </w:pPr>
      <w:r>
        <w:rPr>
          <w:rFonts w:ascii="Noto Sans CJK SC" w:hAnsi="Noto Sans CJK SC" w:eastAsia="Noto Sans CJK SC"/>
          <w:b/>
          <w:color w:val="173649"/>
          <w:sz w:val="42"/>
        </w:rPr>
        <w:t>试点验证与后续决策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526574"/>
          <w:sz w:val="21"/>
        </w:rPr>
        <w:t>用实际成交、服务成本与回款表现决定是否扩大。</w:t>
      </w:r>
    </w:p>
    <w:p>
      <w:pPr>
        <w:pStyle w:val="Heading2"/>
        <w:spacing w:before="180" w:after="100" w:line="360" w:lineRule="exact"/>
      </w:pPr>
      <w:r>
        <w:rPr>
          <w:rFonts w:ascii="Noto Sans CJK SC" w:hAnsi="Noto Sans CJK SC" w:eastAsia="Noto Sans CJK SC"/>
          <w:b/>
          <w:color w:val="147D85"/>
          <w:sz w:val="24"/>
        </w:rPr>
        <w:t>一、分阶段验证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649"/>
        <w:gridCol w:w="3742"/>
      </w:tblGrid>
      <w:tr>
        <w:trPr>
          <w:cantSplit/>
          <w:tblHeader/>
        </w:trPr>
        <w:tc>
          <w:tcPr>
            <w:tcW w:type="dxa" w:w="1474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649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验证重点</w:t>
            </w:r>
          </w:p>
        </w:tc>
        <w:tc>
          <w:tcPr>
            <w:tcW w:type="dxa" w:w="3742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阶段结论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投放前</w:t>
            </w:r>
          </w:p>
        </w:tc>
        <w:tc>
          <w:tcPr>
            <w:tcW w:type="dxa" w:w="4649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合同、费用、资金结算、数据及设备授权、支付退款与投诉流程。</w:t>
            </w:r>
          </w:p>
        </w:tc>
        <w:tc>
          <w:tcPr>
            <w:tcW w:type="dxa" w:w="3742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关键责任落实、演练通过后进入有限投放。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前30天</w:t>
            </w:r>
          </w:p>
        </w:tc>
        <w:tc>
          <w:tcPr>
            <w:tcW w:type="dxa" w:w="464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导购、申请、审批、首付、交机与首期还款。</w:t>
            </w:r>
          </w:p>
        </w:tc>
        <w:tc>
          <w:tcPr>
            <w:tcW w:type="dxa" w:w="374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验证流程可用，修复影响客户或资金安全的问题。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第31–90天</w:t>
            </w:r>
          </w:p>
        </w:tc>
        <w:tc>
          <w:tcPr>
            <w:tcW w:type="dxa" w:w="4649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增量成交、早期逾期、退款投诉、服务与获客成本。</w:t>
            </w:r>
          </w:p>
        </w:tc>
        <w:tc>
          <w:tcPr>
            <w:tcW w:type="dxa" w:w="3742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调整产品和运营；必要时暂停新增。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足够账龄后</w:t>
            </w:r>
          </w:p>
        </w:tc>
        <w:tc>
          <w:tcPr>
            <w:tcW w:type="dxa" w:w="464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按原合同期限持续观察结清、核销、回收和实际资金占用。</w:t>
            </w:r>
          </w:p>
        </w:tc>
        <w:tc>
          <w:tcPr>
            <w:tcW w:type="dxa" w:w="374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复核全周期贡献与损失后决定扩大。</w:t>
            </w:r>
          </w:p>
        </w:tc>
      </w:tr>
    </w:tbl>
    <w:p>
      <w:pPr>
        <w:pStyle w:val="Heading2"/>
        <w:spacing w:before="180" w:after="100" w:line="360" w:lineRule="exact"/>
      </w:pPr>
      <w:r>
        <w:rPr>
          <w:rFonts w:ascii="Noto Sans CJK SC" w:hAnsi="Noto Sans CJK SC" w:eastAsia="Noto Sans CJK SC"/>
          <w:b/>
          <w:color w:val="147D85"/>
          <w:sz w:val="24"/>
        </w:rPr>
        <w:t>二、统一评价口径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8050"/>
            <w:vAlign w:val="center"/>
            <w:shd w:fill="173649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记录与评价方式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转化与增量</w:t>
            </w:r>
          </w:p>
        </w:tc>
        <w:tc>
          <w:tcPr>
            <w:tcW w:type="dxa" w:w="8050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分别统计审核通过率、批准后交机率；用对照门店或可比期间评估新增成交。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首期逾期</w:t>
            </w:r>
          </w:p>
        </w:tc>
        <w:tc>
          <w:tcPr>
            <w:tcW w:type="dxa" w:w="805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首期到期后7日仍未付清的合同数／已到首期且满7日观察期的合同数。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账龄风险</w:t>
            </w:r>
          </w:p>
        </w:tc>
        <w:tc>
          <w:tcPr>
            <w:tcW w:type="dxa" w:w="8050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按投放批次及账龄记录逾期本金、恢复、核销及回收，保持分母和观察时点一致。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客户体验</w:t>
            </w:r>
          </w:p>
        </w:tc>
        <w:tc>
          <w:tcPr>
            <w:tcW w:type="dxa" w:w="805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记录审批时长、到账时长、设备异常与恢复、退款完成及有效投诉。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经营贡献</w:t>
            </w:r>
          </w:p>
        </w:tc>
        <w:tc>
          <w:tcPr>
            <w:tcW w:type="dxa" w:w="8050"/>
            <w:vAlign w:val="center"/>
            <w:shd w:fill="F0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320" w:lineRule="exact"/>
            </w:pPr>
            <w:r>
              <w:rPr>
                <w:rFonts w:ascii="Noto Sans CJK SC" w:hAnsi="Noto Sans CJK SC" w:eastAsia="Noto Sans CJK SC"/>
                <w:b w:val="0"/>
                <w:color w:val="173649"/>
                <w:sz w:val="19"/>
              </w:rPr>
              <w:t>按实际结算、归属费用及预期净回款评价；融资本金不计收入，资金成本避免重复扣减。</w:t>
            </w:r>
          </w:p>
        </w:tc>
      </w:tr>
    </w:tbl>
    <w:p>
      <w:pPr>
        <w:spacing w:after="140"/>
      </w:pPr>
      <w:r>
        <w:rPr>
          <w:rFonts w:ascii="Noto Sans CJK SC" w:hAnsi="Noto Sans CJK SC" w:eastAsia="Noto Sans CJK SC"/>
          <w:b w:val="0"/>
          <w:color w:val="526574"/>
          <w:sz w:val="18"/>
        </w:rPr>
        <w:t>指标阈值、暂停条件与风险预算在投放前共同确认。90天主要验证运营和早期风险，9–12个月产品的最终损失需持续观察至足够账龄。</w:t>
      </w:r>
    </w:p>
    <w:p>
      <w:pPr>
        <w:pStyle w:val="Heading2"/>
        <w:spacing w:before="180" w:after="100" w:line="360" w:lineRule="exact"/>
      </w:pPr>
      <w:r>
        <w:rPr>
          <w:rFonts w:ascii="Noto Sans CJK SC" w:hAnsi="Noto Sans CJK SC" w:eastAsia="Noto Sans CJK SC"/>
          <w:b/>
          <w:color w:val="147D85"/>
          <w:sz w:val="24"/>
        </w:rPr>
        <w:t>三、下一轮交流需确认的事项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173649"/>
          <w:sz w:val="20"/>
        </w:rPr>
        <w:t>① 各国首批城市、门店和机型；② 资金及合同主体；③ 补贴、费用、结算与损失分担；④ 调研负责人、试点预算与评审时间。</w:t>
      </w:r>
    </w:p>
    <w:p>
      <w:pPr>
        <w:spacing w:after="200" w:before="120" w:line="340" w:lineRule="exact"/>
        <w:shd w:fill="EAF4F4"/>
      </w:pPr>
      <w:r>
        <w:rPr>
          <w:rFonts w:ascii="Noto Sans CJK SC" w:hAnsi="Noto Sans CJK SC" w:eastAsia="Noto Sans CJK SC"/>
          <w:b/>
          <w:color w:val="173649"/>
          <w:sz w:val="22"/>
        </w:rPr>
        <w:t>建议结论：两国均推进前期商业与流程验证；依据各自渠道条件落地试点，以真实增量和全周期经济性支持后续投入。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07" w:left="1020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526574"/>
        <w:sz w:val="16"/>
      </w:rPr>
      <w:t xml:space="preserve">对外交流脱敏版  ·  2026年10月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Noto Sans CJK SC" w:hAnsi="Noto Sans CJK SC" w:eastAsia="Noto Sans CJK SC"/>
        <w:b w:val="0"/>
        <w:color w:val="526574"/>
        <w:sz w:val="16"/>
      </w:rPr>
      <w:t>手机分期  /  双市场合作研究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14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4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4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巴基斯坦与墨西哥手机分期市场调研及合作方案</dc:title>
  <dc:subject>对外交流脱敏版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