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r>
        <w:rPr>
          <w:rFonts w:ascii="Times New Roman" w:hAnsi="Times New Roman" w:cs="Times New Roman" w:eastAsia="Times New Roman"/>
          <w:color w:val="5B6573"/>
          <w:sz w:val="21"/>
        </w:rPr>
        <w:t>UDC 004.8 (artificial intelligence); 004 (computer science)</w:t>
      </w:r>
    </w:p>
    <w:p>
      <w:pPr>
        <w:spacing w:before="0" w:after="120"/>
        <w:jc w:val="center"/>
      </w:pPr>
      <w:r>
        <w:rPr>
          <w:rFonts w:ascii="Times New Roman" w:hAnsi="Times New Roman" w:cs="Times New Roman" w:eastAsia="Times New Roman"/>
          <w:b/>
          <w:sz w:val="28"/>
        </w:rPr>
        <w:t>A Layered Self-Validating Knowledge Base with Hybrid Retrieval for Grounding LLM Agents: Architecture, Method and Empirical Evaluation on a Real Corpus</w:t>
      </w:r>
    </w:p>
    <w:p>
      <w:pPr>
        <w:spacing w:before="0" w:after="40"/>
        <w:jc w:val="center"/>
      </w:pPr>
      <w:r>
        <w:rPr>
          <w:rFonts w:ascii="Times New Roman" w:hAnsi="Times New Roman" w:cs="Times New Roman" w:eastAsia="Times New Roman"/>
          <w:b/>
        </w:rPr>
        <w:t>Davletbaev Aleksandr Sergeevich</w:t>
      </w:r>
    </w:p>
    <w:p>
      <w:pPr>
        <w:spacing w:before="0" w:after="40"/>
        <w:jc w:val="center"/>
      </w:pPr>
      <w:r>
        <w:rPr>
          <w:rFonts w:ascii="Times New Roman" w:hAnsi="Times New Roman" w:cs="Times New Roman" w:eastAsia="Times New Roman"/>
          <w:i/>
        </w:rPr>
        <w:t>Lead Software Engineer, LLC «KB Production» (ООО «КБ Продакшн»)</w:t>
      </w:r>
    </w:p>
    <w:p>
      <w:pPr>
        <w:spacing w:before="0" w:after="200"/>
        <w:jc w:val="center"/>
      </w:pPr>
      <w:r>
        <w:rPr>
          <w:rFonts w:ascii="Times New Roman" w:hAnsi="Times New Roman" w:cs="Times New Roman" w:eastAsia="Times New Roman"/>
          <w:i/>
          <w:color w:val="5B6573"/>
          <w:sz w:val="21"/>
        </w:rPr>
        <w:t>System development and numerical experiments were carried out with the aid of AI tools (LLM assistants). Framework DavASko LLM Wiki, v3.x — fully offline, reproducible.</w:t>
      </w:r>
    </w:p>
    <w:p>
      <w:pPr>
        <w:keepNext/>
        <w:spacing w:before="80" w:after="80"/>
        <w:jc w:val="left"/>
      </w:pPr>
      <w:r>
        <w:rPr>
          <w:rFonts w:ascii="Times New Roman" w:hAnsi="Times New Roman" w:cs="Times New Roman" w:eastAsia="Times New Roman"/>
          <w:b/>
          <w:sz w:val="24"/>
        </w:rPr>
        <w:t>Abstract</w:t>
      </w:r>
    </w:p>
    <w:p>
      <w:pPr>
        <w:spacing w:before="0" w:after="0"/>
        <w:ind w:firstLine="397"/>
        <w:jc w:val="both"/>
      </w:pPr>
      <w:r>
        <w:rPr>
          <w:rFonts w:ascii="Times New Roman" w:hAnsi="Times New Roman" w:cs="Times New Roman" w:eastAsia="Times New Roman"/>
        </w:rPr>
        <w:t>It is verified empirically whether a curated hybrid (symbolic and semantic) retrieval layer over a knowledge base outperforms a trivial lexical file search when grounding LLM agents. The system architecture is described in detail: a downward-dependent layer model that separates immutable source snapshots from derived curated pages with content-hash provenance; a hybrid retriever with a per-query adaptive threshold; and a deduplicated, machine-shared embedding model resolved through a system marker. On a deployed 162-document base with 15 labeled queries, recall@5, MRR and nDCG@5 are computed for the proposed engine and baselines. Semantic retrieval yields recall@5 0.633 and MRR 0.718 against 0.333 and 0.435 for the lexical baseline; structure-aware chunking exceeds the fixed-window one by 7.8% MRR; GPU embedding gives an eight-fold speed-up. A stress test across three query regimes (meaning, topic, exact identifier) additionally exposed and corrected a non-functional symbolic stream, doubling exact-identifier retrieval. The retrieval layer is justified by measurement.</w:t>
      </w:r>
    </w:p>
    <w:p>
      <w:pPr>
        <w:spacing w:before="0" w:after="0"/>
        <w:ind w:firstLine="397"/>
        <w:jc w:val="both"/>
      </w:pPr>
      <w:r>
        <w:rPr>
          <w:rFonts w:ascii="Times New Roman" w:hAnsi="Times New Roman" w:cs="Times New Roman" w:eastAsia="Times New Roman"/>
          <w:b/>
        </w:rPr>
        <w:t xml:space="preserve">Keywords: </w:t>
      </w:r>
      <w:r>
        <w:rPr>
          <w:rFonts w:ascii="Times New Roman" w:hAnsi="Times New Roman" w:cs="Times New Roman" w:eastAsia="Times New Roman"/>
        </w:rPr>
        <w:t>information retrieval; knowledge base; retrieval-augmented generation; vector embeddings; layered architecture; ranking quality evaluation; LLM agents</w:t>
      </w:r>
    </w:p>
    <w:p>
      <w:pPr>
        <w:keepNext/>
        <w:spacing w:before="200" w:after="80"/>
        <w:jc w:val="left"/>
      </w:pPr>
      <w:r>
        <w:rPr>
          <w:rFonts w:ascii="Times New Roman" w:hAnsi="Times New Roman" w:cs="Times New Roman" w:eastAsia="Times New Roman"/>
          <w:b/>
          <w:sz w:val="24"/>
        </w:rPr>
        <w:t>Аннотация</w:t>
      </w:r>
    </w:p>
    <w:p>
      <w:pPr>
        <w:spacing w:before="0" w:after="0"/>
        <w:ind w:firstLine="397"/>
        <w:jc w:val="both"/>
      </w:pPr>
      <w:r>
        <w:rPr>
          <w:rFonts w:ascii="Times New Roman" w:hAnsi="Times New Roman" w:cs="Times New Roman" w:eastAsia="Times New Roman"/>
        </w:rPr>
        <w:t>Эмпирически проверяется, превосходит ли курируемый гибридный (символьный и семантический) слой поиска по базе знаний тривиальный лексический поиск по файлам при заземлении LLM-агентов. Подробно описана архитектура системы: слоевая модель со строго нисходящими зависимостями, отделяющая иммутабельные снимки источников от производных курируемых страниц с провенансом по контент-хешам; гибридный ретривер с адаптивным порогом на запрос; и дедуплицированная, общая для машины модель эмбеддингов, разрешаемая через системную метку. На развёрнутой базе из 162 документов с 15 размеченными запросами вычислены recall@5, MRR и nDCG@5 для предложенного движка и базлайнов. Семантический поиск даёт recall@5 0.633 и MRR 0.718 против 0.333 и 0.435 у лексического базлайна; структурный чанкинг превосходит оконный на 7.8% MRR; эмбеддинг на GPU даёт восьмикратное ускорение. Слой поиска оправдан измерением.</w:t>
      </w:r>
    </w:p>
    <w:p>
      <w:pPr>
        <w:spacing w:before="0" w:after="0"/>
        <w:ind w:firstLine="397"/>
        <w:jc w:val="both"/>
      </w:pPr>
      <w:r>
        <w:rPr>
          <w:rFonts w:ascii="Times New Roman" w:hAnsi="Times New Roman" w:cs="Times New Roman" w:eastAsia="Times New Roman"/>
          <w:b/>
        </w:rPr>
        <w:t xml:space="preserve">Ключевые слова: </w:t>
      </w:r>
      <w:r>
        <w:rPr>
          <w:rFonts w:ascii="Times New Roman" w:hAnsi="Times New Roman" w:cs="Times New Roman" w:eastAsia="Times New Roman"/>
        </w:rPr>
        <w:t>информационный поиск; база знаний; дополненная поиском генерация; векторные эмбеддинги; слоевая архитектура; оценка качества ранжирования; LLM-агенты</w:t>
      </w:r>
    </w:p>
    <w:p>
      <w:pPr>
        <w:keepNext/>
        <w:spacing w:before="240" w:after="80"/>
        <w:jc w:val="left"/>
      </w:pPr>
      <w:r>
        <w:rPr>
          <w:rFonts w:ascii="Times New Roman" w:hAnsi="Times New Roman" w:cs="Times New Roman" w:eastAsia="Times New Roman"/>
          <w:b/>
          <w:sz w:val="24"/>
        </w:rPr>
        <w:t>1. Introduction</w:t>
      </w:r>
    </w:p>
    <w:p>
      <w:pPr>
        <w:spacing w:before="0" w:after="0"/>
        <w:ind w:firstLine="397"/>
        <w:jc w:val="both"/>
      </w:pPr>
      <w:r>
        <w:rPr>
          <w:rFonts w:ascii="Times New Roman" w:hAnsi="Times New Roman" w:cs="Times New Roman" w:eastAsia="Times New Roman"/>
          <w:b/>
        </w:rPr>
        <w:t xml:space="preserve">Relevance. </w:t>
      </w:r>
      <w:r>
        <w:rPr>
          <w:rFonts w:ascii="Times New Roman" w:hAnsi="Times New Roman" w:cs="Times New Roman" w:eastAsia="Times New Roman"/>
        </w:rPr>
        <w:t>LLM agents in software development increasingly operate over large and evolving project knowledge. A common grounding approach is retrieval-augmented generation (RAG) [5], in which relevant context is retrieved and supplied to the model. Yet the underlying assumption that a dedicated retrieval layer is effective is usually asserted rather than tested: it remains open whether a curated indexed knowledge layer beats the trivial alternative — direct full-text search by the agent over the files. A retrieval layer that does not beat that baseline is negative-value complexity, as it adds maintenance burden and a second, drifting copy of the truth.</w:t>
      </w:r>
    </w:p>
    <w:p>
      <w:pPr>
        <w:spacing w:before="0" w:after="0"/>
        <w:ind w:firstLine="397"/>
        <w:jc w:val="both"/>
      </w:pPr>
      <w:r>
        <w:rPr>
          <w:rFonts w:ascii="Times New Roman" w:hAnsi="Times New Roman" w:cs="Times New Roman" w:eastAsia="Times New Roman"/>
          <w:b/>
        </w:rPr>
        <w:t xml:space="preserve">Aim and objectives. </w:t>
      </w:r>
      <w:r>
        <w:rPr>
          <w:rFonts w:ascii="Times New Roman" w:hAnsi="Times New Roman" w:cs="Times New Roman" w:eastAsia="Times New Roman"/>
        </w:rPr>
        <w:t>The aim is to establish quantitatively whether the proposed hybrid retrieval engine earns its use, and to describe the architecture that makes it maintainable. The objectives are: (1) to formalize the layered architecture and retrieval method; (2) to build an evaluation harness with information-retrieval metrics and baselines; (3) to evaluate on a real corpus; (4) to refine the method based on observed data.</w:t>
      </w:r>
    </w:p>
    <w:p>
      <w:pPr>
        <w:spacing w:before="0" w:after="0"/>
        <w:ind w:firstLine="397"/>
        <w:jc w:val="both"/>
      </w:pPr>
      <w:r>
        <w:rPr>
          <w:rFonts w:ascii="Times New Roman" w:hAnsi="Times New Roman" w:cs="Times New Roman" w:eastAsia="Times New Roman"/>
          <w:b/>
        </w:rPr>
        <w:t xml:space="preserve">Contributions. </w:t>
      </w:r>
      <w:r>
        <w:rPr>
          <w:rFonts w:ascii="Times New Roman" w:hAnsi="Times New Roman" w:cs="Times New Roman" w:eastAsia="Times New Roman"/>
        </w:rPr>
        <w:t>(i) A layered, self-validating knowledge-base architecture with explicit source-vs-derived separation and content-hash provenance (§2.2, §2.5); (ii) a hybrid retriever with a per-query adaptive threshold (2) proposed as a replacement for a constant cosine cutoff (§2.4); (iii) a machine-shared embedding model resolved through a marker, removing per-base model duplication (§2.6); (iv) an evaluation harness sharing the engine's own core, and a measurement-driven refinement loop (§3–§4).</w:t>
      </w:r>
    </w:p>
    <w:p>
      <w:pPr>
        <w:spacing w:before="0" w:after="0"/>
        <w:ind w:firstLine="397"/>
        <w:jc w:val="both"/>
      </w:pPr>
      <w:r>
        <w:rPr>
          <w:rFonts w:ascii="Times New Roman" w:hAnsi="Times New Roman" w:cs="Times New Roman" w:eastAsia="Times New Roman"/>
          <w:b/>
        </w:rPr>
        <w:t xml:space="preserve">Related work. </w:t>
      </w:r>
      <w:r>
        <w:rPr>
          <w:rFonts w:ascii="Times New Roman" w:hAnsi="Times New Roman" w:cs="Times New Roman" w:eastAsia="Times New Roman"/>
        </w:rPr>
        <w:t>Dense retrieval maps a query and text fragments into a shared vector space and ranks by cosine similarity [4]; RAG couples such retrieval with a generator [5, 2]. The embedding model is the multilingual Jina v3 with task-specific LoRA adapters and asymmetric query:/passage: prefixes [8], run locally via ONNX Runtime in Transformers.js [10]. Inverted-file (IVF) indexes partition vectors into clusters and probe the nearest at query time, trading recall for speed [3]. Structure-aware splitters cut a document along its structure and improve fragment coherence [1]. Combining lexical and dense retrieval is established practice [2].</w:t>
      </w:r>
    </w:p>
    <w:p>
      <w:pPr>
        <w:keepNext/>
        <w:spacing w:before="240" w:after="80"/>
        <w:jc w:val="left"/>
      </w:pPr>
      <w:r>
        <w:rPr>
          <w:rFonts w:ascii="Times New Roman" w:hAnsi="Times New Roman" w:cs="Times New Roman" w:eastAsia="Times New Roman"/>
          <w:b/>
          <w:sz w:val="24"/>
        </w:rPr>
        <w:t>2. Materials and Methods</w:t>
      </w:r>
    </w:p>
    <w:p>
      <w:pPr>
        <w:keepNext/>
        <w:spacing w:before="200" w:after="80"/>
        <w:jc w:val="left"/>
      </w:pPr>
      <w:r>
        <w:rPr>
          <w:rFonts w:ascii="Times New Roman" w:hAnsi="Times New Roman" w:cs="Times New Roman" w:eastAsia="Times New Roman"/>
          <w:b/>
          <w:sz w:val="24"/>
        </w:rPr>
        <w:t>2.1 System overview</w:t>
      </w:r>
    </w:p>
    <w:p>
      <w:pPr>
        <w:spacing w:before="0" w:after="0"/>
        <w:ind w:firstLine="397"/>
        <w:jc w:val="both"/>
      </w:pPr>
      <w:r>
        <w:rPr>
          <w:rFonts w:ascii="Times New Roman" w:hAnsi="Times New Roman" w:cs="Times New Roman" w:eastAsia="Times New Roman"/>
        </w:rPr>
        <w:t>The system has two pipelines over a shared store: an offline indexing pipeline that turns knowledge into vectors, and an online query pipeline that retrieves grounded context for an agent. The store is organized into independent layers (§2.2); each layer separates immutable source snapshots (raw/) from derived curated pages (wiki/), and both are indexed. The end-to-end pipelines are shown in Figure 1.</w:t>
      </w:r>
    </w:p>
    <w:p>
      <w:pPr>
        <w:spacing w:before="160" w:after="40"/>
        <w:jc w:val="center"/>
      </w:pPr>
      <w:r>
        <w:drawing>
          <wp:inline xmlns:a="http://schemas.openxmlformats.org/drawingml/2006/main" xmlns:pic="http://schemas.openxmlformats.org/drawingml/2006/picture">
            <wp:extent cx="5760000" cy="2040831"/>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5760000" cy="2040831"/>
                    </a:xfrm>
                    <a:prstGeom prst="rect"/>
                  </pic:spPr>
                </pic:pic>
              </a:graphicData>
            </a:graphic>
          </wp:inline>
        </w:drawing>
      </w:r>
    </w:p>
    <w:p>
      <w:pPr>
        <w:spacing w:after="200"/>
        <w:jc w:val="center"/>
      </w:pPr>
      <w:r>
        <w:rPr>
          <w:rFonts w:ascii="Times New Roman" w:hAnsi="Times New Roman" w:cs="Times New Roman" w:eastAsia="Times New Roman"/>
          <w:color w:val="5B6573"/>
          <w:sz w:val="21"/>
        </w:rPr>
        <w:t>Figure 1 — Indexing (top) and query (bottom) pipelines</w:t>
      </w:r>
    </w:p>
    <w:p>
      <w:pPr>
        <w:keepNext/>
        <w:spacing w:before="200" w:after="80"/>
        <w:jc w:val="left"/>
      </w:pPr>
      <w:r>
        <w:rPr>
          <w:rFonts w:ascii="Times New Roman" w:hAnsi="Times New Roman" w:cs="Times New Roman" w:eastAsia="Times New Roman"/>
          <w:b/>
          <w:sz w:val="24"/>
        </w:rPr>
        <w:t>2.2 Layered knowledge model</w:t>
      </w:r>
    </w:p>
    <w:p>
      <w:pPr>
        <w:spacing w:before="0" w:after="0"/>
        <w:ind w:firstLine="397"/>
        <w:jc w:val="both"/>
      </w:pPr>
      <w:r>
        <w:rPr>
          <w:rFonts w:ascii="Times New Roman" w:hAnsi="Times New Roman" w:cs="Times New Roman" w:eastAsia="Times New Roman"/>
        </w:rPr>
        <w:t>Knowledge is partitioned into independent layers forming a strictly downward dependency graph (a directed acyclic graph): a more specific layer may depend on and link to more general ones, never the reverse. This isolates universal agent rules from engine constraints, framework conventions and project specifics, and lets several project layers reuse a common base in parallel. Each layer declares its dependencies in a wiki.json manifest. When the same topic exists in two layers, the more specific layer wins by default and the agent must flag the duplicate. The dependency model and the internal split of a single layer are shown in Figure 2.</w:t>
      </w:r>
    </w:p>
    <w:p>
      <w:pPr>
        <w:spacing w:before="160" w:after="40"/>
        <w:jc w:val="center"/>
      </w:pPr>
      <w:r>
        <w:drawing>
          <wp:inline xmlns:a="http://schemas.openxmlformats.org/drawingml/2006/main" xmlns:pic="http://schemas.openxmlformats.org/drawingml/2006/picture">
            <wp:extent cx="5760000" cy="2176542"/>
            <wp:docPr id="2" name="Picture 2"/>
            <wp:cNvGraphicFramePr>
              <a:graphicFrameLocks noChangeAspect="1"/>
            </wp:cNvGraphicFramePr>
            <a:graphic>
              <a:graphicData uri="http://schemas.openxmlformats.org/drawingml/2006/picture">
                <pic:pic>
                  <pic:nvPicPr>
                    <pic:cNvPr id="0" name="fig2_layers.png"/>
                    <pic:cNvPicPr/>
                  </pic:nvPicPr>
                  <pic:blipFill>
                    <a:blip r:embed="rId10"/>
                    <a:stretch>
                      <a:fillRect/>
                    </a:stretch>
                  </pic:blipFill>
                  <pic:spPr>
                    <a:xfrm>
                      <a:off x="0" y="0"/>
                      <a:ext cx="5760000" cy="2176542"/>
                    </a:xfrm>
                    <a:prstGeom prst="rect"/>
                  </pic:spPr>
                </pic:pic>
              </a:graphicData>
            </a:graphic>
          </wp:inline>
        </w:drawing>
      </w:r>
    </w:p>
    <w:p>
      <w:pPr>
        <w:spacing w:after="200"/>
        <w:jc w:val="center"/>
      </w:pPr>
      <w:r>
        <w:rPr>
          <w:rFonts w:ascii="Times New Roman" w:hAnsi="Times New Roman" w:cs="Times New Roman" w:eastAsia="Times New Roman"/>
          <w:color w:val="5B6573"/>
          <w:sz w:val="21"/>
        </w:rPr>
        <w:t>Figure 2 — Layered dependency graph (left) and the source-vs-derived split inside one layer (right)</w:t>
      </w:r>
    </w:p>
    <w:p>
      <w:pPr>
        <w:keepNext/>
        <w:spacing w:before="200" w:after="80"/>
        <w:jc w:val="left"/>
      </w:pPr>
      <w:r>
        <w:rPr>
          <w:rFonts w:ascii="Times New Roman" w:hAnsi="Times New Roman" w:cs="Times New Roman" w:eastAsia="Times New Roman"/>
          <w:b/>
          <w:sz w:val="24"/>
        </w:rPr>
        <w:t>2.3 Hybrid retrieval</w:t>
      </w:r>
    </w:p>
    <w:p>
      <w:pPr>
        <w:spacing w:before="0" w:after="0"/>
        <w:ind w:firstLine="397"/>
        <w:jc w:val="both"/>
      </w:pPr>
      <w:r>
        <w:rPr>
          <w:rFonts w:ascii="Times New Roman" w:hAnsi="Times New Roman" w:cs="Times New Roman" w:eastAsia="Times New Roman"/>
        </w:rPr>
        <w:t>The symbolic stream (A) matches strict code identifiers (PascalCase of at least two parts, I* interfaces, m_* fields) against document fields; matches are weighted by field type and down-weighted by an inverse document frequency in the spirit of IDF [6]. The semantic stream (B) embeds the query with the query: prefix and ranks fragments by cosine similarity (1) [6]:</w:t>
      </w:r>
    </w:p>
    <w:p>
      <w:pPr>
        <w:spacing w:before="80" w:after="80"/>
        <w:jc w:val="center"/>
      </w:pPr>
      <w:r>
        <w:rPr>
          <w:rFonts w:ascii="Times New Roman" w:hAnsi="Times New Roman" w:cs="Times New Roman" w:eastAsia="Times New Roman"/>
          <w:i/>
        </w:rPr>
        <w:t>sim(q, d) = (q · d) / (‖q‖ · ‖d‖)      (1)</w:t>
      </w:r>
    </w:p>
    <w:p>
      <w:pPr>
        <w:spacing w:before="0" w:after="0"/>
        <w:ind w:firstLine="397"/>
        <w:jc w:val="both"/>
      </w:pPr>
      <w:r>
        <w:rPr>
          <w:rFonts w:ascii="Times New Roman" w:hAnsi="Times New Roman" w:cs="Times New Roman" w:eastAsia="Times New Roman"/>
        </w:rPr>
        <w:t>The streams are merged by a single effective score rather than by a hard precedence of one over the other (justification in §4.1). Exact symbolic hits (score ≈ 1.0) and dense cosine scores (0–1) thus compete on one scale, so a strong semantic match can outrank a tangential identifier match.</w:t>
      </w:r>
    </w:p>
    <w:p>
      <w:pPr>
        <w:keepNext/>
        <w:spacing w:before="200" w:after="80"/>
        <w:jc w:val="left"/>
      </w:pPr>
      <w:r>
        <w:rPr>
          <w:rFonts w:ascii="Times New Roman" w:hAnsi="Times New Roman" w:cs="Times New Roman" w:eastAsia="Times New Roman"/>
          <w:b/>
          <w:sz w:val="24"/>
        </w:rPr>
        <w:t>2.4 Routing and adaptive threshold</w:t>
      </w:r>
    </w:p>
    <w:p>
      <w:pPr>
        <w:spacing w:before="0" w:after="0"/>
        <w:ind w:firstLine="397"/>
        <w:jc w:val="both"/>
      </w:pPr>
      <w:r>
        <w:rPr>
          <w:rFonts w:ascii="Times New Roman" w:hAnsi="Times New Roman" w:cs="Times New Roman" w:eastAsia="Times New Roman"/>
        </w:rPr>
        <w:t>Vectors are stored one shard per layer; a shard centroid is the mean of its member vectors. At query time, shards are ranked by centroid proximity and the nprobe nearest are scanned (IVF-style multi-probe [3]); when nprobe is not smaller than the number of shards, the search is exhaustive and loses no recall. Instead of a fixed cosine threshold, sensitive to a shift of the similarity distribution, a per-query adaptive threshold (2) is used:</w:t>
      </w:r>
    </w:p>
    <w:p>
      <w:pPr>
        <w:spacing w:before="80" w:after="80"/>
        <w:jc w:val="center"/>
      </w:pPr>
      <w:r>
        <w:rPr>
          <w:rFonts w:ascii="Times New Roman" w:hAnsi="Times New Roman" w:cs="Times New Roman" w:eastAsia="Times New Roman"/>
          <w:i/>
        </w:rPr>
        <w:t>τ_q = max( φ,  α · max_d sim(q, d) )      (2)</w:t>
      </w:r>
    </w:p>
    <w:p>
      <w:pPr>
        <w:spacing w:before="0" w:after="0"/>
        <w:ind w:firstLine="397"/>
        <w:jc w:val="both"/>
      </w:pPr>
      <w:r>
        <w:rPr>
          <w:rFonts w:ascii="Times New Roman" w:hAnsi="Times New Roman" w:cs="Times New Roman" w:eastAsia="Times New Roman"/>
        </w:rPr>
        <w:t>where α is a fraction of the maximum similarity (default 0.85) and φ is a lower noise floor (default 0.35). Construction (2) is proposed in this work as a replacement for a constant threshold: it adapts to each query's own best score and is therefore robust to distribution shifts induced by language (RU/EN) and document length. Finally, graph-lift expands the top results by one hop along extends parents and [[wiki-links]], pulling in directly related pages.</w:t>
      </w:r>
    </w:p>
    <w:p>
      <w:pPr>
        <w:keepNext/>
        <w:spacing w:before="200" w:after="80"/>
        <w:jc w:val="left"/>
      </w:pPr>
      <w:r>
        <w:rPr>
          <w:rFonts w:ascii="Times New Roman" w:hAnsi="Times New Roman" w:cs="Times New Roman" w:eastAsia="Times New Roman"/>
          <w:b/>
          <w:sz w:val="24"/>
        </w:rPr>
        <w:t>2.5 Structure-aware chunking and provenance</w:t>
      </w:r>
    </w:p>
    <w:p>
      <w:pPr>
        <w:spacing w:before="0" w:after="0"/>
        <w:ind w:firstLine="397"/>
        <w:jc w:val="both"/>
      </w:pPr>
      <w:r>
        <w:rPr>
          <w:rFonts w:ascii="Times New Roman" w:hAnsi="Times New Roman" w:cs="Times New Roman" w:eastAsia="Times New Roman"/>
        </w:rPr>
        <w:t>The indexer tokenizes Markdown into headings, paragraphs and atomic code blocks, packs them to a target size within the [min, max] word range, hard-splits only oversized blocks, merges undersized fragments and prepends the heading path; the approach follows the idea of structure-aware splitting [1]. Code is treated as the source of truth and wiki/ pages as derived; on close scores the source is ranked higher and results are labeled primary (SOURCE) or derived (SUMMARY). Each derived page stores content hashes of its cited sources; a staleness check recomputes them, so a divergence between a changed source and its summary becomes detectable rather than silent.</w:t>
      </w:r>
    </w:p>
    <w:p>
      <w:pPr>
        <w:keepNext/>
        <w:spacing w:before="200" w:after="80"/>
        <w:jc w:val="left"/>
      </w:pPr>
      <w:r>
        <w:rPr>
          <w:rFonts w:ascii="Times New Roman" w:hAnsi="Times New Roman" w:cs="Times New Roman" w:eastAsia="Times New Roman"/>
          <w:b/>
          <w:sz w:val="24"/>
        </w:rPr>
        <w:t>2.6 Shared embedding model and deployment</w:t>
      </w:r>
    </w:p>
    <w:p>
      <w:pPr>
        <w:spacing w:before="0" w:after="0"/>
        <w:ind w:firstLine="397"/>
        <w:jc w:val="both"/>
      </w:pPr>
      <w:r>
        <w:rPr>
          <w:rFonts w:ascii="Times New Roman" w:hAnsi="Times New Roman" w:cs="Times New Roman" w:eastAsia="Times New Roman"/>
        </w:rPr>
        <w:t>The embedding model is large (~1.1 GB). Storing a copy inside every deployed base would multiply disk use and management. Instead the model is installed once per machine into a system location and its path is published through a small marker file (a JSON config); every base resolves the model through that marker. Resolution order is: an explicit environment variable, then the marker, then a repository-local fallback, and otherwise the deployer asks where to install the shared model. The mechanism is shown in Figure 3.</w:t>
      </w:r>
    </w:p>
    <w:p>
      <w:pPr>
        <w:spacing w:before="160" w:after="40"/>
        <w:jc w:val="center"/>
      </w:pPr>
      <w:r>
        <w:drawing>
          <wp:inline xmlns:a="http://schemas.openxmlformats.org/drawingml/2006/main" xmlns:pic="http://schemas.openxmlformats.org/drawingml/2006/picture">
            <wp:extent cx="5760000" cy="1928458"/>
            <wp:docPr id="3" name="Picture 3"/>
            <wp:cNvGraphicFramePr>
              <a:graphicFrameLocks noChangeAspect="1"/>
            </wp:cNvGraphicFramePr>
            <a:graphic>
              <a:graphicData uri="http://schemas.openxmlformats.org/drawingml/2006/picture">
                <pic:pic>
                  <pic:nvPicPr>
                    <pic:cNvPr id="0" name="fig3_model.png"/>
                    <pic:cNvPicPr/>
                  </pic:nvPicPr>
                  <pic:blipFill>
                    <a:blip r:embed="rId11"/>
                    <a:stretch>
                      <a:fillRect/>
                    </a:stretch>
                  </pic:blipFill>
                  <pic:spPr>
                    <a:xfrm>
                      <a:off x="0" y="0"/>
                      <a:ext cx="5760000" cy="1928458"/>
                    </a:xfrm>
                    <a:prstGeom prst="rect"/>
                  </pic:spPr>
                </pic:pic>
              </a:graphicData>
            </a:graphic>
          </wp:inline>
        </w:drawing>
      </w:r>
    </w:p>
    <w:p>
      <w:pPr>
        <w:spacing w:after="200"/>
        <w:jc w:val="center"/>
      </w:pPr>
      <w:r>
        <w:rPr>
          <w:rFonts w:ascii="Times New Roman" w:hAnsi="Times New Roman" w:cs="Times New Roman" w:eastAsia="Times New Roman"/>
          <w:color w:val="5B6573"/>
          <w:sz w:val="21"/>
        </w:rPr>
        <w:t>Figure 3 — One machine-shared model resolved by every base through a marker; resolution order below</w:t>
      </w:r>
    </w:p>
    <w:p>
      <w:pPr>
        <w:spacing w:before="0" w:after="0"/>
        <w:ind w:firstLine="397"/>
        <w:jc w:val="both"/>
      </w:pPr>
      <w:r>
        <w:rPr>
          <w:rFonts w:ascii="Times New Roman" w:hAnsi="Times New Roman" w:cs="Times New Roman" w:eastAsia="Times New Roman"/>
        </w:rPr>
        <w:t>Deployment of a complete base is one command (or the equivalent agent skill) performing five steps: scaffold the layers and base pages, install the shared model and write the marker, install the agent rules, install the operating skills, and run a baseline validation (unit tests, linter, index build). The write path is closed end-to-end: ingesting a source places it under raw/, auto-creates a derived summary stub, lints, and finishes with vectorization, so new knowledge is immediately searchable.</w:t>
      </w:r>
    </w:p>
    <w:p>
      <w:pPr>
        <w:keepNext/>
        <w:spacing w:before="200" w:after="80"/>
        <w:jc w:val="left"/>
      </w:pPr>
      <w:r>
        <w:rPr>
          <w:rFonts w:ascii="Times New Roman" w:hAnsi="Times New Roman" w:cs="Times New Roman" w:eastAsia="Times New Roman"/>
          <w:b/>
          <w:sz w:val="24"/>
        </w:rPr>
        <w:t>2.7 Evaluation metrics</w:t>
      </w:r>
    </w:p>
    <w:p>
      <w:pPr>
        <w:spacing w:before="0" w:after="0"/>
        <w:ind w:firstLine="397"/>
        <w:jc w:val="both"/>
      </w:pPr>
      <w:r>
        <w:rPr>
          <w:rFonts w:ascii="Times New Roman" w:hAnsi="Times New Roman" w:cs="Times New Roman" w:eastAsia="Times New Roman"/>
        </w:rPr>
        <w:t>For a set of relevant documents R and a ranked result list, standard metrics are used [6, 7]. Recall in the first k (3) is the fraction of relevant documents in the top-k [6]:</w:t>
      </w:r>
    </w:p>
    <w:p>
      <w:pPr>
        <w:spacing w:before="80" w:after="80"/>
        <w:jc w:val="center"/>
      </w:pPr>
      <w:r>
        <w:rPr>
          <w:rFonts w:ascii="Times New Roman" w:hAnsi="Times New Roman" w:cs="Times New Roman" w:eastAsia="Times New Roman"/>
          <w:i/>
        </w:rPr>
        <w:t>recall@k = |R ∩ top-k| / |R|      (3)</w:t>
      </w:r>
    </w:p>
    <w:p>
      <w:pPr>
        <w:spacing w:before="0" w:after="0"/>
        <w:ind w:firstLine="397"/>
        <w:jc w:val="both"/>
      </w:pPr>
      <w:r>
        <w:rPr>
          <w:rFonts w:ascii="Times New Roman" w:hAnsi="Times New Roman" w:cs="Times New Roman" w:eastAsia="Times New Roman"/>
        </w:rPr>
        <w:t>Mean reciprocal rank (4) averages the reciprocal rank of the first relevant document over queries Q [6]:</w:t>
      </w:r>
    </w:p>
    <w:p>
      <w:pPr>
        <w:spacing w:before="80" w:after="80"/>
        <w:jc w:val="center"/>
      </w:pPr>
      <w:r>
        <w:rPr>
          <w:rFonts w:ascii="Times New Roman" w:hAnsi="Times New Roman" w:cs="Times New Roman" w:eastAsia="Times New Roman"/>
          <w:i/>
        </w:rPr>
        <w:t>MRR = (1/|Q|) · Σ 1 / rank_i      (4)</w:t>
      </w:r>
    </w:p>
    <w:p>
      <w:pPr>
        <w:spacing w:before="0" w:after="0"/>
        <w:ind w:firstLine="397"/>
        <w:jc w:val="both"/>
      </w:pPr>
      <w:r>
        <w:rPr>
          <w:rFonts w:ascii="Times New Roman" w:hAnsi="Times New Roman" w:cs="Times New Roman" w:eastAsia="Times New Roman"/>
        </w:rPr>
        <w:t>Normalized discounted cumulative gain (5)–(6) accounts for the position of a relevant result [7]:</w:t>
      </w:r>
    </w:p>
    <w:p>
      <w:pPr>
        <w:spacing w:before="80" w:after="80"/>
        <w:jc w:val="center"/>
      </w:pPr>
      <w:r>
        <w:rPr>
          <w:rFonts w:ascii="Times New Roman" w:hAnsi="Times New Roman" w:cs="Times New Roman" w:eastAsia="Times New Roman"/>
          <w:i/>
        </w:rPr>
        <w:t>DCG@k = Σ rel_i / log₂(i+1);   nDCG@k = DCG@k / IDCG@k      (5)–(6)</w:t>
      </w:r>
    </w:p>
    <w:p>
      <w:pPr>
        <w:keepNext/>
        <w:spacing w:before="200" w:after="80"/>
        <w:jc w:val="left"/>
      </w:pPr>
      <w:r>
        <w:rPr>
          <w:rFonts w:ascii="Times New Roman" w:hAnsi="Times New Roman" w:cs="Times New Roman" w:eastAsia="Times New Roman"/>
          <w:b/>
          <w:sz w:val="24"/>
        </w:rPr>
        <w:t>2.8 Experimental setup</w:t>
      </w:r>
    </w:p>
    <w:p>
      <w:pPr>
        <w:spacing w:before="0" w:after="0"/>
        <w:ind w:firstLine="397"/>
        <w:jc w:val="both"/>
      </w:pPr>
      <w:r>
        <w:rPr>
          <w:rFonts w:ascii="Times New Roman" w:hAnsi="Times New Roman" w:cs="Times New Roman" w:eastAsia="Times New Roman"/>
        </w:rPr>
        <w:t>The evaluation corpus is the deployed KBPro base; its composition is given in Table 1. The query set comprises 15 labeled questions with required-source annotations. The model is jinaai/jina-embeddings-v3 (fp16, 1024 dimensions). The parameter top-k = 5; the threshold is adaptive (α = 0.85, φ = 0.35). The retrievers compared are semantic (dense multi-probe only), hybrid (symbols and semantics with unified ranking), flat (exhaustive flat cosine), and lexical (term overlap over the files — the agent-reads-the-files model). The harness reuses the engine's own core functions and therefore evaluates the real engine, not a re-implementation. Embedding runs on a GPU via the DirectML provider with fallback to the CPU [9].</w:t>
      </w:r>
    </w:p>
    <w:p>
      <w:pPr>
        <w:spacing w:before="120" w:after="40"/>
        <w:jc w:val="left"/>
      </w:pPr>
      <w:r>
        <w:rPr>
          <w:rFonts w:ascii="Times New Roman" w:hAnsi="Times New Roman" w:cs="Times New Roman" w:eastAsia="Times New Roman"/>
          <w:b/>
          <w:color w:val="5B6573"/>
          <w:sz w:val="21"/>
        </w:rPr>
        <w:t>Table 1 — Evaluation corpus composition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fill="EDEFF2"/>
          </w:tcPr>
          <w:p>
            <w:pPr>
              <w:spacing w:line="240" w:lineRule="auto" w:after="0"/>
              <w:jc w:val="left"/>
            </w:pPr>
            <w:r/>
            <w:r>
              <w:rPr>
                <w:rFonts w:ascii="Times New Roman" w:hAnsi="Times New Roman" w:cs="Times New Roman" w:eastAsia="Times New Roman"/>
                <w:b/>
                <w:sz w:val="21"/>
              </w:rPr>
              <w:t>Scope</w:t>
            </w:r>
          </w:p>
        </w:tc>
        <w:tc>
          <w:tcPr>
            <w:tcW w:type="dxa" w:w="1814"/>
            <w:shd w:val="clear" w:fill="EDEFF2"/>
          </w:tcPr>
          <w:p>
            <w:pPr>
              <w:spacing w:line="240" w:lineRule="auto" w:after="0"/>
              <w:jc w:val="right"/>
            </w:pPr>
            <w:r/>
            <w:r>
              <w:rPr>
                <w:rFonts w:ascii="Times New Roman" w:hAnsi="Times New Roman" w:cs="Times New Roman" w:eastAsia="Times New Roman"/>
                <w:b/>
                <w:sz w:val="21"/>
              </w:rPr>
              <w:t>layers</w:t>
            </w:r>
          </w:p>
        </w:tc>
        <w:tc>
          <w:tcPr>
            <w:tcW w:type="dxa" w:w="1814"/>
            <w:shd w:val="clear" w:fill="EDEFF2"/>
          </w:tcPr>
          <w:p>
            <w:pPr>
              <w:spacing w:line="240" w:lineRule="auto" w:after="0"/>
              <w:jc w:val="right"/>
            </w:pPr>
            <w:r/>
            <w:r>
              <w:rPr>
                <w:rFonts w:ascii="Times New Roman" w:hAnsi="Times New Roman" w:cs="Times New Roman" w:eastAsia="Times New Roman"/>
                <w:b/>
                <w:sz w:val="21"/>
              </w:rPr>
              <w:t>documents</w:t>
            </w:r>
          </w:p>
        </w:tc>
        <w:tc>
          <w:tcPr>
            <w:tcW w:type="dxa" w:w="1814"/>
            <w:shd w:val="clear" w:fill="EDEFF2"/>
          </w:tcPr>
          <w:p>
            <w:pPr>
              <w:spacing w:line="240" w:lineRule="auto" w:after="0"/>
              <w:jc w:val="right"/>
            </w:pPr>
            <w:r/>
            <w:r>
              <w:rPr>
                <w:rFonts w:ascii="Times New Roman" w:hAnsi="Times New Roman" w:cs="Times New Roman" w:eastAsia="Times New Roman"/>
                <w:b/>
                <w:sz w:val="21"/>
              </w:rPr>
              <w:t>fragments</w:t>
            </w:r>
          </w:p>
        </w:tc>
        <w:tc>
          <w:tcPr>
            <w:tcW w:type="dxa" w:w="1814"/>
            <w:shd w:val="clear" w:fill="EDEFF2"/>
          </w:tcPr>
          <w:p>
            <w:pPr>
              <w:spacing w:line="240" w:lineRule="auto" w:after="0"/>
              <w:jc w:val="right"/>
            </w:pPr>
            <w:r/>
            <w:r>
              <w:rPr>
                <w:rFonts w:ascii="Times New Roman" w:hAnsi="Times New Roman" w:cs="Times New Roman" w:eastAsia="Times New Roman"/>
                <w:b/>
                <w:sz w:val="21"/>
              </w:rPr>
              <w:t>shards</w:t>
            </w:r>
          </w:p>
        </w:tc>
      </w:tr>
      <w:tr>
        <w:tc>
          <w:tcPr>
            <w:tcW w:type="dxa" w:w="1814"/>
            <w:shd w:val="clear" w:fill="EEFAF4"/>
          </w:tcPr>
          <w:p>
            <w:pPr>
              <w:spacing w:line="240" w:lineRule="auto" w:after="0"/>
              <w:jc w:val="left"/>
            </w:pPr>
            <w:r/>
            <w:r>
              <w:rPr>
                <w:rFonts w:ascii="Times New Roman" w:hAnsi="Times New Roman" w:cs="Times New Roman" w:eastAsia="Times New Roman"/>
                <w:b/>
                <w:sz w:val="21"/>
              </w:rPr>
              <w:t>evaluation subset (kbpro-wiki, llm-wiki)</w:t>
            </w:r>
          </w:p>
        </w:tc>
        <w:tc>
          <w:tcPr>
            <w:tcW w:type="dxa" w:w="1814"/>
            <w:shd w:val="clear" w:fill="EEFAF4"/>
          </w:tcPr>
          <w:p>
            <w:pPr>
              <w:spacing w:line="240" w:lineRule="auto" w:after="0"/>
              <w:jc w:val="right"/>
            </w:pPr>
            <w:r/>
            <w:r>
              <w:rPr>
                <w:rFonts w:ascii="Times New Roman" w:hAnsi="Times New Roman" w:cs="Times New Roman" w:eastAsia="Times New Roman"/>
                <w:sz w:val="21"/>
              </w:rPr>
              <w:t>2</w:t>
            </w:r>
          </w:p>
        </w:tc>
        <w:tc>
          <w:tcPr>
            <w:tcW w:type="dxa" w:w="1814"/>
            <w:shd w:val="clear" w:fill="EEFAF4"/>
          </w:tcPr>
          <w:p>
            <w:pPr>
              <w:spacing w:line="240" w:lineRule="auto" w:after="0"/>
              <w:jc w:val="right"/>
            </w:pPr>
            <w:r/>
            <w:r>
              <w:rPr>
                <w:rFonts w:ascii="Times New Roman" w:hAnsi="Times New Roman" w:cs="Times New Roman" w:eastAsia="Times New Roman"/>
                <w:sz w:val="21"/>
              </w:rPr>
              <w:t>162</w:t>
            </w:r>
          </w:p>
        </w:tc>
        <w:tc>
          <w:tcPr>
            <w:tcW w:type="dxa" w:w="1814"/>
            <w:shd w:val="clear" w:fill="EEFAF4"/>
          </w:tcPr>
          <w:p>
            <w:pPr>
              <w:spacing w:line="240" w:lineRule="auto" w:after="0"/>
              <w:jc w:val="right"/>
            </w:pPr>
            <w:r/>
            <w:r>
              <w:rPr>
                <w:rFonts w:ascii="Times New Roman" w:hAnsi="Times New Roman" w:cs="Times New Roman" w:eastAsia="Times New Roman"/>
                <w:sz w:val="21"/>
              </w:rPr>
              <w:t>433</w:t>
            </w:r>
          </w:p>
        </w:tc>
        <w:tc>
          <w:tcPr>
            <w:tcW w:type="dxa" w:w="1814"/>
            <w:shd w:val="clear" w:fill="EEFAF4"/>
          </w:tcPr>
          <w:p>
            <w:pPr>
              <w:spacing w:line="240" w:lineRule="auto" w:after="0"/>
              <w:jc w:val="right"/>
            </w:pPr>
            <w:r/>
            <w:r>
              <w:rPr>
                <w:rFonts w:ascii="Times New Roman" w:hAnsi="Times New Roman" w:cs="Times New Roman" w:eastAsia="Times New Roman"/>
                <w:sz w:val="21"/>
              </w:rPr>
              <w:t>2</w:t>
            </w:r>
          </w:p>
        </w:tc>
      </w:tr>
      <w:tr>
        <w:tc>
          <w:tcPr>
            <w:tcW w:type="dxa" w:w="1814"/>
          </w:tcPr>
          <w:p>
            <w:pPr>
              <w:spacing w:line="240" w:lineRule="auto" w:after="0"/>
              <w:jc w:val="left"/>
            </w:pPr>
            <w:r/>
            <w:r>
              <w:rPr>
                <w:rFonts w:ascii="Times New Roman" w:hAnsi="Times New Roman" w:cs="Times New Roman" w:eastAsia="Times New Roman"/>
                <w:sz w:val="21"/>
              </w:rPr>
              <w:t>full deployment</w:t>
            </w:r>
          </w:p>
        </w:tc>
        <w:tc>
          <w:tcPr>
            <w:tcW w:type="dxa" w:w="1814"/>
          </w:tcPr>
          <w:p>
            <w:pPr>
              <w:spacing w:line="240" w:lineRule="auto" w:after="0"/>
              <w:jc w:val="right"/>
            </w:pPr>
            <w:r/>
            <w:r>
              <w:rPr>
                <w:rFonts w:ascii="Times New Roman" w:hAnsi="Times New Roman" w:cs="Times New Roman" w:eastAsia="Times New Roman"/>
                <w:sz w:val="21"/>
              </w:rPr>
              <w:t>6</w:t>
            </w:r>
          </w:p>
        </w:tc>
        <w:tc>
          <w:tcPr>
            <w:tcW w:type="dxa" w:w="1814"/>
          </w:tcPr>
          <w:p>
            <w:pPr>
              <w:spacing w:line="240" w:lineRule="auto" w:after="0"/>
              <w:jc w:val="right"/>
            </w:pPr>
            <w:r/>
            <w:r>
              <w:rPr>
                <w:rFonts w:ascii="Times New Roman" w:hAnsi="Times New Roman" w:cs="Times New Roman" w:eastAsia="Times New Roman"/>
                <w:sz w:val="21"/>
              </w:rPr>
              <w:t>343</w:t>
            </w:r>
          </w:p>
        </w:tc>
        <w:tc>
          <w:tcPr>
            <w:tcW w:type="dxa" w:w="1814"/>
          </w:tcPr>
          <w:p>
            <w:pPr>
              <w:spacing w:line="240" w:lineRule="auto" w:after="0"/>
              <w:jc w:val="right"/>
            </w:pPr>
            <w:r/>
            <w:r>
              <w:rPr>
                <w:rFonts w:ascii="Times New Roman" w:hAnsi="Times New Roman" w:cs="Times New Roman" w:eastAsia="Times New Roman"/>
                <w:sz w:val="21"/>
              </w:rPr>
              <w:t>—</w:t>
            </w:r>
          </w:p>
        </w:tc>
        <w:tc>
          <w:tcPr>
            <w:tcW w:type="dxa" w:w="1814"/>
          </w:tcPr>
          <w:p>
            <w:pPr>
              <w:spacing w:line="240" w:lineRule="auto" w:after="0"/>
              <w:jc w:val="right"/>
            </w:pPr>
            <w:r/>
            <w:r>
              <w:rPr>
                <w:rFonts w:ascii="Times New Roman" w:hAnsi="Times New Roman" w:cs="Times New Roman" w:eastAsia="Times New Roman"/>
                <w:sz w:val="21"/>
              </w:rPr>
              <w:t>6</w:t>
            </w:r>
          </w:p>
        </w:tc>
      </w:tr>
    </w:tbl>
    <w:p>
      <w:pPr>
        <w:spacing w:before="120" w:after="40"/>
        <w:jc w:val="center"/>
      </w:pPr>
      <w:r>
        <w:rPr>
          <w:rFonts w:ascii="Times New Roman" w:hAnsi="Times New Roman" w:cs="Times New Roman" w:eastAsia="Times New Roman"/>
          <w:color w:val="5B6573"/>
          <w:sz w:val="21"/>
        </w:rPr>
        <w:t>With 2 shards, multi-probe equals exhaustive search; clustering matters only across many layers.</w:t>
      </w:r>
    </w:p>
    <w:p>
      <w:pPr>
        <w:spacing w:after="40"/>
      </w:pPr>
    </w:p>
    <w:p>
      <w:pPr>
        <w:keepNext/>
        <w:spacing w:before="240" w:after="80"/>
        <w:jc w:val="left"/>
      </w:pPr>
      <w:r>
        <w:rPr>
          <w:rFonts w:ascii="Times New Roman" w:hAnsi="Times New Roman" w:cs="Times New Roman" w:eastAsia="Times New Roman"/>
          <w:b/>
          <w:sz w:val="24"/>
        </w:rPr>
        <w:t>3. Results</w:t>
      </w:r>
    </w:p>
    <w:p>
      <w:pPr>
        <w:spacing w:before="0" w:after="0"/>
        <w:ind w:firstLine="397"/>
        <w:jc w:val="both"/>
      </w:pPr>
      <w:r>
        <w:rPr>
          <w:rFonts w:ascii="Times New Roman" w:hAnsi="Times New Roman" w:cs="Times New Roman" w:eastAsia="Times New Roman"/>
        </w:rPr>
        <w:t>The main results are given in Table 2 and Figure 4. On the real corpus the retrieval layer roughly doubles recall (0.633 against 0.333) and improves first-relevant ranking by 65% in MRR (0.718 against 0.435) relative to the lexical baseline.</w:t>
      </w:r>
    </w:p>
    <w:p>
      <w:pPr>
        <w:spacing w:before="120" w:after="40"/>
        <w:jc w:val="left"/>
      </w:pPr>
      <w:r>
        <w:rPr>
          <w:rFonts w:ascii="Times New Roman" w:hAnsi="Times New Roman" w:cs="Times New Roman" w:eastAsia="Times New Roman"/>
          <w:b/>
          <w:color w:val="5B6573"/>
          <w:sz w:val="21"/>
        </w:rPr>
        <w:t>Table 2 — Main retrieval results (162 documents, 15 queries, top-k = 5)</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EDEFF2"/>
          </w:tcPr>
          <w:p>
            <w:pPr>
              <w:spacing w:line="240" w:lineRule="auto" w:after="0"/>
              <w:jc w:val="left"/>
            </w:pPr>
            <w:r/>
            <w:r>
              <w:rPr>
                <w:rFonts w:ascii="Times New Roman" w:hAnsi="Times New Roman" w:cs="Times New Roman" w:eastAsia="Times New Roman"/>
                <w:b/>
                <w:sz w:val="21"/>
              </w:rPr>
              <w:t>Retriever</w:t>
            </w:r>
          </w:p>
        </w:tc>
        <w:tc>
          <w:tcPr>
            <w:tcW w:type="dxa" w:w="2268"/>
            <w:shd w:val="clear" w:fill="EDEFF2"/>
          </w:tcPr>
          <w:p>
            <w:pPr>
              <w:spacing w:line="240" w:lineRule="auto" w:after="0"/>
              <w:jc w:val="right"/>
            </w:pPr>
            <w:r/>
            <w:r>
              <w:rPr>
                <w:rFonts w:ascii="Times New Roman" w:hAnsi="Times New Roman" w:cs="Times New Roman" w:eastAsia="Times New Roman"/>
                <w:b/>
                <w:sz w:val="21"/>
              </w:rPr>
              <w:t>recall@5</w:t>
            </w:r>
          </w:p>
        </w:tc>
        <w:tc>
          <w:tcPr>
            <w:tcW w:type="dxa" w:w="2268"/>
            <w:shd w:val="clear" w:fill="EDEFF2"/>
          </w:tcPr>
          <w:p>
            <w:pPr>
              <w:spacing w:line="240" w:lineRule="auto" w:after="0"/>
              <w:jc w:val="right"/>
            </w:pPr>
            <w:r/>
            <w:r>
              <w:rPr>
                <w:rFonts w:ascii="Times New Roman" w:hAnsi="Times New Roman" w:cs="Times New Roman" w:eastAsia="Times New Roman"/>
                <w:b/>
                <w:sz w:val="21"/>
              </w:rPr>
              <w:t>MRR</w:t>
            </w:r>
          </w:p>
        </w:tc>
        <w:tc>
          <w:tcPr>
            <w:tcW w:type="dxa" w:w="2268"/>
            <w:shd w:val="clear" w:fill="EDEFF2"/>
          </w:tcPr>
          <w:p>
            <w:pPr>
              <w:spacing w:line="240" w:lineRule="auto" w:after="0"/>
              <w:jc w:val="right"/>
            </w:pPr>
            <w:r/>
            <w:r>
              <w:rPr>
                <w:rFonts w:ascii="Times New Roman" w:hAnsi="Times New Roman" w:cs="Times New Roman" w:eastAsia="Times New Roman"/>
                <w:b/>
                <w:sz w:val="21"/>
              </w:rPr>
              <w:t>nDCG@5</w:t>
            </w:r>
          </w:p>
        </w:tc>
      </w:tr>
      <w:tr>
        <w:tc>
          <w:tcPr>
            <w:tcW w:type="dxa" w:w="2268"/>
            <w:shd w:val="clear" w:fill="EEFAF4"/>
          </w:tcPr>
          <w:p>
            <w:pPr>
              <w:spacing w:line="240" w:lineRule="auto" w:after="0"/>
              <w:jc w:val="left"/>
            </w:pPr>
            <w:r/>
            <w:r>
              <w:rPr>
                <w:rFonts w:ascii="Times New Roman" w:hAnsi="Times New Roman" w:cs="Times New Roman" w:eastAsia="Times New Roman"/>
                <w:b/>
                <w:sz w:val="21"/>
              </w:rPr>
              <w:t>semantic (proposed engine)</w:t>
            </w:r>
          </w:p>
        </w:tc>
        <w:tc>
          <w:tcPr>
            <w:tcW w:type="dxa" w:w="2268"/>
            <w:shd w:val="clear" w:fill="EEFAF4"/>
          </w:tcPr>
          <w:p>
            <w:pPr>
              <w:spacing w:line="240" w:lineRule="auto" w:after="0"/>
              <w:jc w:val="right"/>
            </w:pPr>
            <w:r/>
            <w:r>
              <w:rPr>
                <w:rFonts w:ascii="Times New Roman" w:hAnsi="Times New Roman" w:cs="Times New Roman" w:eastAsia="Times New Roman"/>
                <w:sz w:val="21"/>
              </w:rPr>
              <w:t>0.633</w:t>
            </w:r>
          </w:p>
        </w:tc>
        <w:tc>
          <w:tcPr>
            <w:tcW w:type="dxa" w:w="2268"/>
            <w:shd w:val="clear" w:fill="EEFAF4"/>
          </w:tcPr>
          <w:p>
            <w:pPr>
              <w:spacing w:line="240" w:lineRule="auto" w:after="0"/>
              <w:jc w:val="right"/>
            </w:pPr>
            <w:r/>
            <w:r>
              <w:rPr>
                <w:rFonts w:ascii="Times New Roman" w:hAnsi="Times New Roman" w:cs="Times New Roman" w:eastAsia="Times New Roman"/>
                <w:sz w:val="21"/>
              </w:rPr>
              <w:t>0.718</w:t>
            </w:r>
          </w:p>
        </w:tc>
        <w:tc>
          <w:tcPr>
            <w:tcW w:type="dxa" w:w="2268"/>
            <w:shd w:val="clear" w:fill="EEFAF4"/>
          </w:tcPr>
          <w:p>
            <w:pPr>
              <w:spacing w:line="240" w:lineRule="auto" w:after="0"/>
              <w:jc w:val="right"/>
            </w:pPr>
            <w:r/>
            <w:r>
              <w:rPr>
                <w:rFonts w:ascii="Times New Roman" w:hAnsi="Times New Roman" w:cs="Times New Roman" w:eastAsia="Times New Roman"/>
                <w:sz w:val="21"/>
              </w:rPr>
              <w:t>0.626</w:t>
            </w:r>
          </w:p>
        </w:tc>
      </w:tr>
      <w:tr>
        <w:tc>
          <w:tcPr>
            <w:tcW w:type="dxa" w:w="2268"/>
          </w:tcPr>
          <w:p>
            <w:pPr>
              <w:spacing w:line="240" w:lineRule="auto" w:after="0"/>
              <w:jc w:val="left"/>
            </w:pPr>
            <w:r/>
            <w:r>
              <w:rPr>
                <w:rFonts w:ascii="Times New Roman" w:hAnsi="Times New Roman" w:cs="Times New Roman" w:eastAsia="Times New Roman"/>
                <w:sz w:val="21"/>
              </w:rPr>
              <w:t>hybrid (symbols + semantic)</w:t>
            </w:r>
          </w:p>
        </w:tc>
        <w:tc>
          <w:tcPr>
            <w:tcW w:type="dxa" w:w="2268"/>
          </w:tcPr>
          <w:p>
            <w:pPr>
              <w:spacing w:line="240" w:lineRule="auto" w:after="0"/>
              <w:jc w:val="right"/>
            </w:pPr>
            <w:r/>
            <w:r>
              <w:rPr>
                <w:rFonts w:ascii="Times New Roman" w:hAnsi="Times New Roman" w:cs="Times New Roman" w:eastAsia="Times New Roman"/>
                <w:sz w:val="21"/>
              </w:rPr>
              <w:t>0.633</w:t>
            </w:r>
          </w:p>
        </w:tc>
        <w:tc>
          <w:tcPr>
            <w:tcW w:type="dxa" w:w="2268"/>
          </w:tcPr>
          <w:p>
            <w:pPr>
              <w:spacing w:line="240" w:lineRule="auto" w:after="0"/>
              <w:jc w:val="right"/>
            </w:pPr>
            <w:r/>
            <w:r>
              <w:rPr>
                <w:rFonts w:ascii="Times New Roman" w:hAnsi="Times New Roman" w:cs="Times New Roman" w:eastAsia="Times New Roman"/>
                <w:sz w:val="21"/>
              </w:rPr>
              <w:t>0.718</w:t>
            </w:r>
          </w:p>
        </w:tc>
        <w:tc>
          <w:tcPr>
            <w:tcW w:type="dxa" w:w="2268"/>
          </w:tcPr>
          <w:p>
            <w:pPr>
              <w:spacing w:line="240" w:lineRule="auto" w:after="0"/>
              <w:jc w:val="right"/>
            </w:pPr>
            <w:r/>
            <w:r>
              <w:rPr>
                <w:rFonts w:ascii="Times New Roman" w:hAnsi="Times New Roman" w:cs="Times New Roman" w:eastAsia="Times New Roman"/>
                <w:sz w:val="21"/>
              </w:rPr>
              <w:t>0.626</w:t>
            </w:r>
          </w:p>
        </w:tc>
      </w:tr>
      <w:tr>
        <w:tc>
          <w:tcPr>
            <w:tcW w:type="dxa" w:w="2268"/>
          </w:tcPr>
          <w:p>
            <w:pPr>
              <w:spacing w:line="240" w:lineRule="auto" w:after="0"/>
              <w:jc w:val="left"/>
            </w:pPr>
            <w:r/>
            <w:r>
              <w:rPr>
                <w:rFonts w:ascii="Times New Roman" w:hAnsi="Times New Roman" w:cs="Times New Roman" w:eastAsia="Times New Roman"/>
                <w:sz w:val="21"/>
              </w:rPr>
              <w:t>flat (exhaustive cosine)</w:t>
            </w:r>
          </w:p>
        </w:tc>
        <w:tc>
          <w:tcPr>
            <w:tcW w:type="dxa" w:w="2268"/>
          </w:tcPr>
          <w:p>
            <w:pPr>
              <w:spacing w:line="240" w:lineRule="auto" w:after="0"/>
              <w:jc w:val="right"/>
            </w:pPr>
            <w:r/>
            <w:r>
              <w:rPr>
                <w:rFonts w:ascii="Times New Roman" w:hAnsi="Times New Roman" w:cs="Times New Roman" w:eastAsia="Times New Roman"/>
                <w:sz w:val="21"/>
              </w:rPr>
              <w:t>0.633</w:t>
            </w:r>
          </w:p>
        </w:tc>
        <w:tc>
          <w:tcPr>
            <w:tcW w:type="dxa" w:w="2268"/>
          </w:tcPr>
          <w:p>
            <w:pPr>
              <w:spacing w:line="240" w:lineRule="auto" w:after="0"/>
              <w:jc w:val="right"/>
            </w:pPr>
            <w:r/>
            <w:r>
              <w:rPr>
                <w:rFonts w:ascii="Times New Roman" w:hAnsi="Times New Roman" w:cs="Times New Roman" w:eastAsia="Times New Roman"/>
                <w:sz w:val="21"/>
              </w:rPr>
              <w:t>0.718</w:t>
            </w:r>
          </w:p>
        </w:tc>
        <w:tc>
          <w:tcPr>
            <w:tcW w:type="dxa" w:w="2268"/>
          </w:tcPr>
          <w:p>
            <w:pPr>
              <w:spacing w:line="240" w:lineRule="auto" w:after="0"/>
              <w:jc w:val="right"/>
            </w:pPr>
            <w:r/>
            <w:r>
              <w:rPr>
                <w:rFonts w:ascii="Times New Roman" w:hAnsi="Times New Roman" w:cs="Times New Roman" w:eastAsia="Times New Roman"/>
                <w:sz w:val="21"/>
              </w:rPr>
              <w:t>0.626</w:t>
            </w:r>
          </w:p>
        </w:tc>
      </w:tr>
      <w:tr>
        <w:tc>
          <w:tcPr>
            <w:tcW w:type="dxa" w:w="2268"/>
          </w:tcPr>
          <w:p>
            <w:pPr>
              <w:spacing w:line="240" w:lineRule="auto" w:after="0"/>
              <w:jc w:val="left"/>
            </w:pPr>
            <w:r/>
            <w:r>
              <w:rPr>
                <w:rFonts w:ascii="Times New Roman" w:hAnsi="Times New Roman" w:cs="Times New Roman" w:eastAsia="Times New Roman"/>
                <w:sz w:val="21"/>
              </w:rPr>
              <w:t>lexical (lexical baseline)</w:t>
            </w:r>
          </w:p>
        </w:tc>
        <w:tc>
          <w:tcPr>
            <w:tcW w:type="dxa" w:w="2268"/>
          </w:tcPr>
          <w:p>
            <w:pPr>
              <w:spacing w:line="240" w:lineRule="auto" w:after="0"/>
              <w:jc w:val="right"/>
            </w:pPr>
            <w:r/>
            <w:r>
              <w:rPr>
                <w:rFonts w:ascii="Times New Roman" w:hAnsi="Times New Roman" w:cs="Times New Roman" w:eastAsia="Times New Roman"/>
                <w:sz w:val="21"/>
              </w:rPr>
              <w:t>0.333</w:t>
            </w:r>
          </w:p>
        </w:tc>
        <w:tc>
          <w:tcPr>
            <w:tcW w:type="dxa" w:w="2268"/>
          </w:tcPr>
          <w:p>
            <w:pPr>
              <w:spacing w:line="240" w:lineRule="auto" w:after="0"/>
              <w:jc w:val="right"/>
            </w:pPr>
            <w:r/>
            <w:r>
              <w:rPr>
                <w:rFonts w:ascii="Times New Roman" w:hAnsi="Times New Roman" w:cs="Times New Roman" w:eastAsia="Times New Roman"/>
                <w:sz w:val="21"/>
              </w:rPr>
              <w:t>0.435</w:t>
            </w:r>
          </w:p>
        </w:tc>
        <w:tc>
          <w:tcPr>
            <w:tcW w:type="dxa" w:w="2268"/>
          </w:tcPr>
          <w:p>
            <w:pPr>
              <w:spacing w:line="240" w:lineRule="auto" w:after="0"/>
              <w:jc w:val="right"/>
            </w:pPr>
            <w:r/>
            <w:r>
              <w:rPr>
                <w:rFonts w:ascii="Times New Roman" w:hAnsi="Times New Roman" w:cs="Times New Roman" w:eastAsia="Times New Roman"/>
                <w:sz w:val="21"/>
              </w:rPr>
              <w:t>0.303</w:t>
            </w:r>
          </w:p>
        </w:tc>
      </w:tr>
    </w:tbl>
    <w:p>
      <w:pPr>
        <w:spacing w:before="120" w:after="40"/>
        <w:jc w:val="center"/>
      </w:pPr>
      <w:r>
        <w:rPr>
          <w:rFonts w:ascii="Times New Roman" w:hAnsi="Times New Roman" w:cs="Times New Roman" w:eastAsia="Times New Roman"/>
          <w:color w:val="5B6573"/>
          <w:sz w:val="21"/>
        </w:rPr>
        <w:t>The equality semantic = hybrid = flat is due to having only two shards, in which case multi-probe equals exhaustive search.</w:t>
      </w:r>
    </w:p>
    <w:p>
      <w:pPr>
        <w:spacing w:after="40"/>
      </w:pPr>
    </w:p>
    <w:p>
      <w:pPr>
        <w:spacing w:before="160" w:after="40"/>
        <w:jc w:val="center"/>
      </w:pPr>
      <w:r>
        <w:drawing>
          <wp:inline xmlns:a="http://schemas.openxmlformats.org/drawingml/2006/main" xmlns:pic="http://schemas.openxmlformats.org/drawingml/2006/picture">
            <wp:extent cx="4680000" cy="1918392"/>
            <wp:docPr id="4" name="Picture 4"/>
            <wp:cNvGraphicFramePr>
              <a:graphicFrameLocks noChangeAspect="1"/>
            </wp:cNvGraphicFramePr>
            <a:graphic>
              <a:graphicData uri="http://schemas.openxmlformats.org/drawingml/2006/picture">
                <pic:pic>
                  <pic:nvPicPr>
                    <pic:cNvPr id="0" name="fig4_results.png"/>
                    <pic:cNvPicPr/>
                  </pic:nvPicPr>
                  <pic:blipFill>
                    <a:blip r:embed="rId12"/>
                    <a:stretch>
                      <a:fillRect/>
                    </a:stretch>
                  </pic:blipFill>
                  <pic:spPr>
                    <a:xfrm>
                      <a:off x="0" y="0"/>
                      <a:ext cx="4680000" cy="1918392"/>
                    </a:xfrm>
                    <a:prstGeom prst="rect"/>
                  </pic:spPr>
                </pic:pic>
              </a:graphicData>
            </a:graphic>
          </wp:inline>
        </w:drawing>
      </w:r>
    </w:p>
    <w:p>
      <w:pPr>
        <w:spacing w:after="200"/>
        <w:jc w:val="center"/>
      </w:pPr>
      <w:r>
        <w:rPr>
          <w:rFonts w:ascii="Times New Roman" w:hAnsi="Times New Roman" w:cs="Times New Roman" w:eastAsia="Times New Roman"/>
          <w:color w:val="5B6573"/>
          <w:sz w:val="21"/>
        </w:rPr>
        <w:t>Figure 4 — Dense retrieval versus the lexical baseline across three metrics</w:t>
      </w:r>
    </w:p>
    <w:p>
      <w:pPr>
        <w:keepNext/>
        <w:spacing w:before="240" w:after="80"/>
        <w:jc w:val="left"/>
      </w:pPr>
      <w:r>
        <w:rPr>
          <w:rFonts w:ascii="Times New Roman" w:hAnsi="Times New Roman" w:cs="Times New Roman" w:eastAsia="Times New Roman"/>
          <w:b/>
          <w:sz w:val="24"/>
        </w:rPr>
        <w:t>4. Result Discussion and Method Refinement</w:t>
      </w:r>
    </w:p>
    <w:p>
      <w:pPr>
        <w:keepNext/>
        <w:spacing w:before="200" w:after="80"/>
        <w:jc w:val="left"/>
      </w:pPr>
      <w:r>
        <w:rPr>
          <w:rFonts w:ascii="Times New Roman" w:hAnsi="Times New Roman" w:cs="Times New Roman" w:eastAsia="Times New Roman"/>
          <w:b/>
          <w:sz w:val="24"/>
        </w:rPr>
        <w:t>4.1 Hybrid ranking</w:t>
      </w:r>
    </w:p>
    <w:p>
      <w:pPr>
        <w:spacing w:before="0" w:after="0"/>
        <w:ind w:firstLine="397"/>
        <w:jc w:val="both"/>
      </w:pPr>
      <w:r>
        <w:rPr>
          <w:rFonts w:ascii="Times New Roman" w:hAnsi="Times New Roman" w:cs="Times New Roman" w:eastAsia="Times New Roman"/>
        </w:rPr>
        <w:t>The first run revealed a defect: under the original merge all symbolic matches were placed above semantic ones, whereby tangential exact matches displaced the best semantic results and the hybrid ranked worse than pure semantics (MRR 0.641 against 0.718). Two refinements, measured on the same index, removed the gap (Table 3, Figure 5): a switch to unified score-based ranking and a tightening of symbol extraction that excludes generic acronyms. The diagnosis was localized to a single query in which the acronym JSON was treated as a code identifier.</w:t>
      </w:r>
    </w:p>
    <w:p>
      <w:pPr>
        <w:spacing w:before="120" w:after="40"/>
        <w:jc w:val="left"/>
      </w:pPr>
      <w:r>
        <w:rPr>
          <w:rFonts w:ascii="Times New Roman" w:hAnsi="Times New Roman" w:cs="Times New Roman" w:eastAsia="Times New Roman"/>
          <w:b/>
          <w:color w:val="5B6573"/>
          <w:sz w:val="21"/>
        </w:rPr>
        <w:t>Table 3 — Ranking refinement (hybrid-retriever metrics)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EDEFF2"/>
          </w:tcPr>
          <w:p>
            <w:pPr>
              <w:spacing w:line="240" w:lineRule="auto" w:after="0"/>
              <w:jc w:val="left"/>
            </w:pPr>
            <w:r/>
            <w:r>
              <w:rPr>
                <w:rFonts w:ascii="Times New Roman" w:hAnsi="Times New Roman" w:cs="Times New Roman" w:eastAsia="Times New Roman"/>
                <w:b/>
                <w:sz w:val="21"/>
              </w:rPr>
              <w:t>Configuration</w:t>
            </w:r>
          </w:p>
        </w:tc>
        <w:tc>
          <w:tcPr>
            <w:tcW w:type="dxa" w:w="3024"/>
            <w:shd w:val="clear" w:fill="EDEFF2"/>
          </w:tcPr>
          <w:p>
            <w:pPr>
              <w:spacing w:line="240" w:lineRule="auto" w:after="0"/>
              <w:jc w:val="right"/>
            </w:pPr>
            <w:r/>
            <w:r>
              <w:rPr>
                <w:rFonts w:ascii="Times New Roman" w:hAnsi="Times New Roman" w:cs="Times New Roman" w:eastAsia="Times New Roman"/>
                <w:b/>
                <w:sz w:val="21"/>
              </w:rPr>
              <w:t>MRR</w:t>
            </w:r>
          </w:p>
        </w:tc>
        <w:tc>
          <w:tcPr>
            <w:tcW w:type="dxa" w:w="3024"/>
            <w:shd w:val="clear" w:fill="EDEFF2"/>
          </w:tcPr>
          <w:p>
            <w:pPr>
              <w:spacing w:line="240" w:lineRule="auto" w:after="0"/>
              <w:jc w:val="right"/>
            </w:pPr>
            <w:r/>
            <w:r>
              <w:rPr>
                <w:rFonts w:ascii="Times New Roman" w:hAnsi="Times New Roman" w:cs="Times New Roman" w:eastAsia="Times New Roman"/>
                <w:b/>
                <w:sz w:val="21"/>
              </w:rPr>
              <w:t>nDCG@5</w:t>
            </w:r>
          </w:p>
        </w:tc>
      </w:tr>
      <w:tr>
        <w:tc>
          <w:tcPr>
            <w:tcW w:type="dxa" w:w="3024"/>
          </w:tcPr>
          <w:p>
            <w:pPr>
              <w:spacing w:line="240" w:lineRule="auto" w:after="0"/>
              <w:jc w:val="left"/>
            </w:pPr>
            <w:r/>
            <w:r>
              <w:rPr>
                <w:rFonts w:ascii="Times New Roman" w:hAnsi="Times New Roman" w:cs="Times New Roman" w:eastAsia="Times New Roman"/>
                <w:sz w:val="21"/>
              </w:rPr>
              <w:t>original (hard symbol precedence)</w:t>
            </w:r>
          </w:p>
        </w:tc>
        <w:tc>
          <w:tcPr>
            <w:tcW w:type="dxa" w:w="3024"/>
          </w:tcPr>
          <w:p>
            <w:pPr>
              <w:spacing w:line="240" w:lineRule="auto" w:after="0"/>
              <w:jc w:val="right"/>
            </w:pPr>
            <w:r/>
            <w:r>
              <w:rPr>
                <w:rFonts w:ascii="Times New Roman" w:hAnsi="Times New Roman" w:cs="Times New Roman" w:eastAsia="Times New Roman"/>
                <w:sz w:val="21"/>
              </w:rPr>
              <w:t>0.641</w:t>
            </w:r>
          </w:p>
        </w:tc>
        <w:tc>
          <w:tcPr>
            <w:tcW w:type="dxa" w:w="3024"/>
          </w:tcPr>
          <w:p>
            <w:pPr>
              <w:spacing w:line="240" w:lineRule="auto" w:after="0"/>
              <w:jc w:val="right"/>
            </w:pPr>
            <w:r/>
            <w:r>
              <w:rPr>
                <w:rFonts w:ascii="Times New Roman" w:hAnsi="Times New Roman" w:cs="Times New Roman" w:eastAsia="Times New Roman"/>
                <w:sz w:val="21"/>
              </w:rPr>
              <w:t>0.577</w:t>
            </w:r>
          </w:p>
        </w:tc>
      </w:tr>
      <w:tr>
        <w:tc>
          <w:tcPr>
            <w:tcW w:type="dxa" w:w="3024"/>
          </w:tcPr>
          <w:p>
            <w:pPr>
              <w:spacing w:line="240" w:lineRule="auto" w:after="0"/>
              <w:jc w:val="left"/>
            </w:pPr>
            <w:r/>
            <w:r>
              <w:rPr>
                <w:rFonts w:ascii="Times New Roman" w:hAnsi="Times New Roman" w:cs="Times New Roman" w:eastAsia="Times New Roman"/>
                <w:sz w:val="21"/>
              </w:rPr>
              <w:t>+ unified score-based ranking</w:t>
            </w:r>
          </w:p>
        </w:tc>
        <w:tc>
          <w:tcPr>
            <w:tcW w:type="dxa" w:w="3024"/>
          </w:tcPr>
          <w:p>
            <w:pPr>
              <w:spacing w:line="240" w:lineRule="auto" w:after="0"/>
              <w:jc w:val="right"/>
            </w:pPr>
            <w:r/>
            <w:r>
              <w:rPr>
                <w:rFonts w:ascii="Times New Roman" w:hAnsi="Times New Roman" w:cs="Times New Roman" w:eastAsia="Times New Roman"/>
                <w:sz w:val="21"/>
              </w:rPr>
              <w:t>0.685</w:t>
            </w:r>
          </w:p>
        </w:tc>
        <w:tc>
          <w:tcPr>
            <w:tcW w:type="dxa" w:w="3024"/>
          </w:tcPr>
          <w:p>
            <w:pPr>
              <w:spacing w:line="240" w:lineRule="auto" w:after="0"/>
              <w:jc w:val="right"/>
            </w:pPr>
            <w:r/>
            <w:r>
              <w:rPr>
                <w:rFonts w:ascii="Times New Roman" w:hAnsi="Times New Roman" w:cs="Times New Roman" w:eastAsia="Times New Roman"/>
                <w:sz w:val="21"/>
              </w:rPr>
              <w:t>0.610</w:t>
            </w:r>
          </w:p>
        </w:tc>
      </w:tr>
      <w:tr>
        <w:tc>
          <w:tcPr>
            <w:tcW w:type="dxa" w:w="3024"/>
            <w:shd w:val="clear" w:fill="EEFAF4"/>
          </w:tcPr>
          <w:p>
            <w:pPr>
              <w:spacing w:line="240" w:lineRule="auto" w:after="0"/>
              <w:jc w:val="left"/>
            </w:pPr>
            <w:r/>
            <w:r>
              <w:rPr>
                <w:rFonts w:ascii="Times New Roman" w:hAnsi="Times New Roman" w:cs="Times New Roman" w:eastAsia="Times New Roman"/>
                <w:b/>
                <w:sz w:val="21"/>
              </w:rPr>
              <w:t>+ strict symbol extraction</w:t>
            </w:r>
          </w:p>
        </w:tc>
        <w:tc>
          <w:tcPr>
            <w:tcW w:type="dxa" w:w="3024"/>
            <w:shd w:val="clear" w:fill="EEFAF4"/>
          </w:tcPr>
          <w:p>
            <w:pPr>
              <w:spacing w:line="240" w:lineRule="auto" w:after="0"/>
              <w:jc w:val="right"/>
            </w:pPr>
            <w:r/>
            <w:r>
              <w:rPr>
                <w:rFonts w:ascii="Times New Roman" w:hAnsi="Times New Roman" w:cs="Times New Roman" w:eastAsia="Times New Roman"/>
                <w:sz w:val="21"/>
              </w:rPr>
              <w:t>0.718</w:t>
            </w:r>
          </w:p>
        </w:tc>
        <w:tc>
          <w:tcPr>
            <w:tcW w:type="dxa" w:w="3024"/>
            <w:shd w:val="clear" w:fill="EEFAF4"/>
          </w:tcPr>
          <w:p>
            <w:pPr>
              <w:spacing w:line="240" w:lineRule="auto" w:after="0"/>
              <w:jc w:val="right"/>
            </w:pPr>
            <w:r/>
            <w:r>
              <w:rPr>
                <w:rFonts w:ascii="Times New Roman" w:hAnsi="Times New Roman" w:cs="Times New Roman" w:eastAsia="Times New Roman"/>
                <w:sz w:val="21"/>
              </w:rPr>
              <w:t>0.626</w:t>
            </w:r>
          </w:p>
        </w:tc>
      </w:tr>
    </w:tbl>
    <w:p>
      <w:pPr>
        <w:spacing w:before="120" w:after="40"/>
        <w:jc w:val="center"/>
      </w:pPr>
      <w:r>
        <w:rPr>
          <w:rFonts w:ascii="Times New Roman" w:hAnsi="Times New Roman" w:cs="Times New Roman" w:eastAsia="Times New Roman"/>
          <w:color w:val="5B6573"/>
          <w:sz w:val="21"/>
        </w:rPr>
        <w:t>Total gain — 12% MRR with no change in recall.</w:t>
      </w:r>
    </w:p>
    <w:p>
      <w:pPr>
        <w:spacing w:after="40"/>
      </w:pPr>
    </w:p>
    <w:p>
      <w:pPr>
        <w:spacing w:before="160" w:after="40"/>
        <w:jc w:val="center"/>
      </w:pPr>
      <w:r>
        <w:drawing>
          <wp:inline xmlns:a="http://schemas.openxmlformats.org/drawingml/2006/main" xmlns:pic="http://schemas.openxmlformats.org/drawingml/2006/picture">
            <wp:extent cx="4680000" cy="1915258"/>
            <wp:docPr id="5" name="Picture 5"/>
            <wp:cNvGraphicFramePr>
              <a:graphicFrameLocks noChangeAspect="1"/>
            </wp:cNvGraphicFramePr>
            <a:graphic>
              <a:graphicData uri="http://schemas.openxmlformats.org/drawingml/2006/picture">
                <pic:pic>
                  <pic:nvPicPr>
                    <pic:cNvPr id="0" name="fig5_refine.png"/>
                    <pic:cNvPicPr/>
                  </pic:nvPicPr>
                  <pic:blipFill>
                    <a:blip r:embed="rId13"/>
                    <a:stretch>
                      <a:fillRect/>
                    </a:stretch>
                  </pic:blipFill>
                  <pic:spPr>
                    <a:xfrm>
                      <a:off x="0" y="0"/>
                      <a:ext cx="4680000" cy="1915258"/>
                    </a:xfrm>
                    <a:prstGeom prst="rect"/>
                  </pic:spPr>
                </pic:pic>
              </a:graphicData>
            </a:graphic>
          </wp:inline>
        </w:drawing>
      </w:r>
    </w:p>
    <w:p>
      <w:pPr>
        <w:spacing w:after="200"/>
        <w:jc w:val="center"/>
      </w:pPr>
      <w:r>
        <w:rPr>
          <w:rFonts w:ascii="Times New Roman" w:hAnsi="Times New Roman" w:cs="Times New Roman" w:eastAsia="Times New Roman"/>
          <w:color w:val="5B6573"/>
          <w:sz w:val="21"/>
        </w:rPr>
        <w:t>Figure 5 — Measurement-driven progression of hybrid MRR (0.641 → 0.685 → 0.718)</w:t>
      </w:r>
    </w:p>
    <w:p>
      <w:pPr>
        <w:keepNext/>
        <w:spacing w:before="200" w:after="80"/>
        <w:jc w:val="left"/>
      </w:pPr>
      <w:r>
        <w:rPr>
          <w:rFonts w:ascii="Times New Roman" w:hAnsi="Times New Roman" w:cs="Times New Roman" w:eastAsia="Times New Roman"/>
          <w:b/>
          <w:sz w:val="24"/>
        </w:rPr>
        <w:t>4.2 Comparison of chunking strategies</w:t>
      </w:r>
    </w:p>
    <w:p>
      <w:pPr>
        <w:spacing w:before="0" w:after="0"/>
        <w:ind w:firstLine="397"/>
        <w:jc w:val="both"/>
      </w:pPr>
      <w:r>
        <w:rPr>
          <w:rFonts w:ascii="Times New Roman" w:hAnsi="Times New Roman" w:cs="Times New Roman" w:eastAsia="Times New Roman"/>
        </w:rPr>
        <w:t>With all else equal, the index was rebuilt under each strategy. Structure-aware chunking surpassed the fixed-window one in ranking at equal recall (Table 4, Figure 6), which confirms on this corpus the common qualitative observation on the benefit of structural splitting [1].</w:t>
      </w:r>
    </w:p>
    <w:p>
      <w:pPr>
        <w:spacing w:before="120" w:after="40"/>
        <w:jc w:val="left"/>
      </w:pPr>
      <w:r>
        <w:rPr>
          <w:rFonts w:ascii="Times New Roman" w:hAnsi="Times New Roman" w:cs="Times New Roman" w:eastAsia="Times New Roman"/>
          <w:b/>
          <w:color w:val="5B6573"/>
          <w:sz w:val="21"/>
        </w:rPr>
        <w:t>Table 4 — Structure-aware chunking versus fixed window</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fill="EDEFF2"/>
          </w:tcPr>
          <w:p>
            <w:pPr>
              <w:spacing w:line="240" w:lineRule="auto" w:after="0"/>
              <w:jc w:val="left"/>
            </w:pPr>
            <w:r/>
            <w:r>
              <w:rPr>
                <w:rFonts w:ascii="Times New Roman" w:hAnsi="Times New Roman" w:cs="Times New Roman" w:eastAsia="Times New Roman"/>
                <w:b/>
                <w:sz w:val="21"/>
              </w:rPr>
              <w:t>Chunking</w:t>
            </w:r>
          </w:p>
        </w:tc>
        <w:tc>
          <w:tcPr>
            <w:tcW w:type="dxa" w:w="1814"/>
            <w:shd w:val="clear" w:fill="EDEFF2"/>
          </w:tcPr>
          <w:p>
            <w:pPr>
              <w:spacing w:line="240" w:lineRule="auto" w:after="0"/>
              <w:jc w:val="right"/>
            </w:pPr>
            <w:r/>
            <w:r>
              <w:rPr>
                <w:rFonts w:ascii="Times New Roman" w:hAnsi="Times New Roman" w:cs="Times New Roman" w:eastAsia="Times New Roman"/>
                <w:b/>
                <w:sz w:val="21"/>
              </w:rPr>
              <w:t>recall@5</w:t>
            </w:r>
          </w:p>
        </w:tc>
        <w:tc>
          <w:tcPr>
            <w:tcW w:type="dxa" w:w="1814"/>
            <w:shd w:val="clear" w:fill="EDEFF2"/>
          </w:tcPr>
          <w:p>
            <w:pPr>
              <w:spacing w:line="240" w:lineRule="auto" w:after="0"/>
              <w:jc w:val="right"/>
            </w:pPr>
            <w:r/>
            <w:r>
              <w:rPr>
                <w:rFonts w:ascii="Times New Roman" w:hAnsi="Times New Roman" w:cs="Times New Roman" w:eastAsia="Times New Roman"/>
                <w:b/>
                <w:sz w:val="21"/>
              </w:rPr>
              <w:t>MRR</w:t>
            </w:r>
          </w:p>
        </w:tc>
        <w:tc>
          <w:tcPr>
            <w:tcW w:type="dxa" w:w="1814"/>
            <w:shd w:val="clear" w:fill="EDEFF2"/>
          </w:tcPr>
          <w:p>
            <w:pPr>
              <w:spacing w:line="240" w:lineRule="auto" w:after="0"/>
              <w:jc w:val="right"/>
            </w:pPr>
            <w:r/>
            <w:r>
              <w:rPr>
                <w:rFonts w:ascii="Times New Roman" w:hAnsi="Times New Roman" w:cs="Times New Roman" w:eastAsia="Times New Roman"/>
                <w:b/>
                <w:sz w:val="21"/>
              </w:rPr>
              <w:t>nDCG@5</w:t>
            </w:r>
          </w:p>
        </w:tc>
        <w:tc>
          <w:tcPr>
            <w:tcW w:type="dxa" w:w="1814"/>
            <w:shd w:val="clear" w:fill="EDEFF2"/>
          </w:tcPr>
          <w:p>
            <w:pPr>
              <w:spacing w:line="240" w:lineRule="auto" w:after="0"/>
              <w:jc w:val="right"/>
            </w:pPr>
            <w:r/>
            <w:r>
              <w:rPr>
                <w:rFonts w:ascii="Times New Roman" w:hAnsi="Times New Roman" w:cs="Times New Roman" w:eastAsia="Times New Roman"/>
                <w:b/>
                <w:sz w:val="21"/>
              </w:rPr>
              <w:t>fragments</w:t>
            </w:r>
          </w:p>
        </w:tc>
      </w:tr>
      <w:tr>
        <w:tc>
          <w:tcPr>
            <w:tcW w:type="dxa" w:w="1814"/>
            <w:shd w:val="clear" w:fill="EEFAF4"/>
          </w:tcPr>
          <w:p>
            <w:pPr>
              <w:spacing w:line="240" w:lineRule="auto" w:after="0"/>
              <w:jc w:val="left"/>
            </w:pPr>
            <w:r/>
            <w:r>
              <w:rPr>
                <w:rFonts w:ascii="Times New Roman" w:hAnsi="Times New Roman" w:cs="Times New Roman" w:eastAsia="Times New Roman"/>
                <w:b/>
                <w:sz w:val="21"/>
              </w:rPr>
              <w:t>structure-aware</w:t>
            </w:r>
          </w:p>
        </w:tc>
        <w:tc>
          <w:tcPr>
            <w:tcW w:type="dxa" w:w="1814"/>
            <w:shd w:val="clear" w:fill="EEFAF4"/>
          </w:tcPr>
          <w:p>
            <w:pPr>
              <w:spacing w:line="240" w:lineRule="auto" w:after="0"/>
              <w:jc w:val="right"/>
            </w:pPr>
            <w:r/>
            <w:r>
              <w:rPr>
                <w:rFonts w:ascii="Times New Roman" w:hAnsi="Times New Roman" w:cs="Times New Roman" w:eastAsia="Times New Roman"/>
                <w:sz w:val="21"/>
              </w:rPr>
              <w:t>0.633</w:t>
            </w:r>
          </w:p>
        </w:tc>
        <w:tc>
          <w:tcPr>
            <w:tcW w:type="dxa" w:w="1814"/>
            <w:shd w:val="clear" w:fill="EEFAF4"/>
          </w:tcPr>
          <w:p>
            <w:pPr>
              <w:spacing w:line="240" w:lineRule="auto" w:after="0"/>
              <w:jc w:val="right"/>
            </w:pPr>
            <w:r/>
            <w:r>
              <w:rPr>
                <w:rFonts w:ascii="Times New Roman" w:hAnsi="Times New Roman" w:cs="Times New Roman" w:eastAsia="Times New Roman"/>
                <w:sz w:val="21"/>
              </w:rPr>
              <w:t>0.718</w:t>
            </w:r>
          </w:p>
        </w:tc>
        <w:tc>
          <w:tcPr>
            <w:tcW w:type="dxa" w:w="1814"/>
            <w:shd w:val="clear" w:fill="EEFAF4"/>
          </w:tcPr>
          <w:p>
            <w:pPr>
              <w:spacing w:line="240" w:lineRule="auto" w:after="0"/>
              <w:jc w:val="right"/>
            </w:pPr>
            <w:r/>
            <w:r>
              <w:rPr>
                <w:rFonts w:ascii="Times New Roman" w:hAnsi="Times New Roman" w:cs="Times New Roman" w:eastAsia="Times New Roman"/>
                <w:sz w:val="21"/>
              </w:rPr>
              <w:t>0.626</w:t>
            </w:r>
          </w:p>
        </w:tc>
        <w:tc>
          <w:tcPr>
            <w:tcW w:type="dxa" w:w="1814"/>
            <w:shd w:val="clear" w:fill="EEFAF4"/>
          </w:tcPr>
          <w:p>
            <w:pPr>
              <w:spacing w:line="240" w:lineRule="auto" w:after="0"/>
              <w:jc w:val="right"/>
            </w:pPr>
            <w:r/>
            <w:r>
              <w:rPr>
                <w:rFonts w:ascii="Times New Roman" w:hAnsi="Times New Roman" w:cs="Times New Roman" w:eastAsia="Times New Roman"/>
                <w:sz w:val="21"/>
              </w:rPr>
              <w:t>433</w:t>
            </w:r>
          </w:p>
        </w:tc>
      </w:tr>
      <w:tr>
        <w:tc>
          <w:tcPr>
            <w:tcW w:type="dxa" w:w="1814"/>
          </w:tcPr>
          <w:p>
            <w:pPr>
              <w:spacing w:line="240" w:lineRule="auto" w:after="0"/>
              <w:jc w:val="left"/>
            </w:pPr>
            <w:r/>
            <w:r>
              <w:rPr>
                <w:rFonts w:ascii="Times New Roman" w:hAnsi="Times New Roman" w:cs="Times New Roman" w:eastAsia="Times New Roman"/>
                <w:sz w:val="21"/>
              </w:rPr>
              <w:t>fixed window</w:t>
            </w:r>
          </w:p>
        </w:tc>
        <w:tc>
          <w:tcPr>
            <w:tcW w:type="dxa" w:w="1814"/>
          </w:tcPr>
          <w:p>
            <w:pPr>
              <w:spacing w:line="240" w:lineRule="auto" w:after="0"/>
              <w:jc w:val="right"/>
            </w:pPr>
            <w:r/>
            <w:r>
              <w:rPr>
                <w:rFonts w:ascii="Times New Roman" w:hAnsi="Times New Roman" w:cs="Times New Roman" w:eastAsia="Times New Roman"/>
                <w:sz w:val="21"/>
              </w:rPr>
              <w:t>0.633</w:t>
            </w:r>
          </w:p>
        </w:tc>
        <w:tc>
          <w:tcPr>
            <w:tcW w:type="dxa" w:w="1814"/>
          </w:tcPr>
          <w:p>
            <w:pPr>
              <w:spacing w:line="240" w:lineRule="auto" w:after="0"/>
              <w:jc w:val="right"/>
            </w:pPr>
            <w:r/>
            <w:r>
              <w:rPr>
                <w:rFonts w:ascii="Times New Roman" w:hAnsi="Times New Roman" w:cs="Times New Roman" w:eastAsia="Times New Roman"/>
                <w:sz w:val="21"/>
              </w:rPr>
              <w:t>0.666</w:t>
            </w:r>
          </w:p>
        </w:tc>
        <w:tc>
          <w:tcPr>
            <w:tcW w:type="dxa" w:w="1814"/>
          </w:tcPr>
          <w:p>
            <w:pPr>
              <w:spacing w:line="240" w:lineRule="auto" w:after="0"/>
              <w:jc w:val="right"/>
            </w:pPr>
            <w:r/>
            <w:r>
              <w:rPr>
                <w:rFonts w:ascii="Times New Roman" w:hAnsi="Times New Roman" w:cs="Times New Roman" w:eastAsia="Times New Roman"/>
                <w:sz w:val="21"/>
              </w:rPr>
              <w:t>0.585</w:t>
            </w:r>
          </w:p>
        </w:tc>
        <w:tc>
          <w:tcPr>
            <w:tcW w:type="dxa" w:w="1814"/>
          </w:tcPr>
          <w:p>
            <w:pPr>
              <w:spacing w:line="240" w:lineRule="auto" w:after="0"/>
              <w:jc w:val="right"/>
            </w:pPr>
            <w:r/>
            <w:r>
              <w:rPr>
                <w:rFonts w:ascii="Times New Roman" w:hAnsi="Times New Roman" w:cs="Times New Roman" w:eastAsia="Times New Roman"/>
                <w:sz w:val="21"/>
              </w:rPr>
              <w:t>418</w:t>
            </w:r>
          </w:p>
        </w:tc>
      </w:tr>
    </w:tbl>
    <w:p>
      <w:pPr>
        <w:spacing w:before="120" w:after="40"/>
        <w:jc w:val="center"/>
      </w:pPr>
      <w:r>
        <w:rPr>
          <w:rFonts w:ascii="Times New Roman" w:hAnsi="Times New Roman" w:cs="Times New Roman" w:eastAsia="Times New Roman"/>
          <w:color w:val="5B6573"/>
          <w:sz w:val="21"/>
        </w:rPr>
        <w:t>Gain of structure-aware chunking — 7.8% MRR and 7% nDCG.</w:t>
      </w:r>
    </w:p>
    <w:p>
      <w:pPr>
        <w:spacing w:after="40"/>
      </w:pPr>
    </w:p>
    <w:p>
      <w:pPr>
        <w:spacing w:before="160" w:after="40"/>
        <w:jc w:val="center"/>
      </w:pPr>
      <w:r>
        <w:drawing>
          <wp:inline xmlns:a="http://schemas.openxmlformats.org/drawingml/2006/main" xmlns:pic="http://schemas.openxmlformats.org/drawingml/2006/picture">
            <wp:extent cx="4680000" cy="1918392"/>
            <wp:docPr id="6" name="Picture 6"/>
            <wp:cNvGraphicFramePr>
              <a:graphicFrameLocks noChangeAspect="1"/>
            </wp:cNvGraphicFramePr>
            <a:graphic>
              <a:graphicData uri="http://schemas.openxmlformats.org/drawingml/2006/picture">
                <pic:pic>
                  <pic:nvPicPr>
                    <pic:cNvPr id="0" name="fig6_chunking.png"/>
                    <pic:cNvPicPr/>
                  </pic:nvPicPr>
                  <pic:blipFill>
                    <a:blip r:embed="rId14"/>
                    <a:stretch>
                      <a:fillRect/>
                    </a:stretch>
                  </pic:blipFill>
                  <pic:spPr>
                    <a:xfrm>
                      <a:off x="0" y="0"/>
                      <a:ext cx="4680000" cy="1918392"/>
                    </a:xfrm>
                    <a:prstGeom prst="rect"/>
                  </pic:spPr>
                </pic:pic>
              </a:graphicData>
            </a:graphic>
          </wp:inline>
        </w:drawing>
      </w:r>
    </w:p>
    <w:p>
      <w:pPr>
        <w:spacing w:after="200"/>
        <w:jc w:val="center"/>
      </w:pPr>
      <w:r>
        <w:rPr>
          <w:rFonts w:ascii="Times New Roman" w:hAnsi="Times New Roman" w:cs="Times New Roman" w:eastAsia="Times New Roman"/>
          <w:color w:val="5B6573"/>
          <w:sz w:val="21"/>
        </w:rPr>
        <w:t>Figure 6 — Structure-aware versus fixed-window chunking at equal recall</w:t>
      </w:r>
    </w:p>
    <w:p>
      <w:pPr>
        <w:keepNext/>
        <w:spacing w:before="200" w:after="80"/>
        <w:jc w:val="left"/>
      </w:pPr>
      <w:r>
        <w:rPr>
          <w:rFonts w:ascii="Times New Roman" w:hAnsi="Times New Roman" w:cs="Times New Roman" w:eastAsia="Times New Roman"/>
          <w:b/>
          <w:sz w:val="24"/>
        </w:rPr>
        <w:t>4.3 Indexing speed</w:t>
      </w:r>
    </w:p>
    <w:p>
      <w:pPr>
        <w:spacing w:before="0" w:after="0"/>
        <w:ind w:firstLine="397"/>
        <w:jc w:val="both"/>
      </w:pPr>
      <w:r>
        <w:rPr>
          <w:rFonts w:ascii="Times New Roman" w:hAnsi="Times New Roman" w:cs="Times New Roman" w:eastAsia="Times New Roman"/>
        </w:rPr>
        <w:t>The correctness of each speed-up was verified before time was measured. Batched embedding is provably equivalent to single-item embedding (minimum cosine 0.99999997), but on the CPU it gives only about 11% gain, since a forward pass of the model saturates the computation. Moving computation to a GPU via DirectML [9] gives an eight-fold speed-up while preserving numerical equivalence (Table 5, Figure 7), reducing full-index time from about half an hour to a few minutes.</w:t>
      </w:r>
    </w:p>
    <w:p>
      <w:pPr>
        <w:spacing w:before="120" w:after="40"/>
        <w:jc w:val="left"/>
      </w:pPr>
      <w:r>
        <w:rPr>
          <w:rFonts w:ascii="Times New Roman" w:hAnsi="Times New Roman" w:cs="Times New Roman" w:eastAsia="Times New Roman"/>
          <w:b/>
          <w:color w:val="5B6573"/>
          <w:sz w:val="21"/>
        </w:rPr>
        <w:t>Table 5 — Embedding speed and result equivalence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EDEFF2"/>
          </w:tcPr>
          <w:p>
            <w:pPr>
              <w:spacing w:line="240" w:lineRule="auto" w:after="0"/>
              <w:jc w:val="left"/>
            </w:pPr>
            <w:r/>
            <w:r>
              <w:rPr>
                <w:rFonts w:ascii="Times New Roman" w:hAnsi="Times New Roman" w:cs="Times New Roman" w:eastAsia="Times New Roman"/>
                <w:b/>
                <w:sz w:val="21"/>
              </w:rPr>
              <w:t>Configuration</w:t>
            </w:r>
          </w:p>
        </w:tc>
        <w:tc>
          <w:tcPr>
            <w:tcW w:type="dxa" w:w="2268"/>
            <w:shd w:val="clear" w:fill="EDEFF2"/>
          </w:tcPr>
          <w:p>
            <w:pPr>
              <w:spacing w:line="240" w:lineRule="auto" w:after="0"/>
              <w:jc w:val="right"/>
            </w:pPr>
            <w:r/>
            <w:r>
              <w:rPr>
                <w:rFonts w:ascii="Times New Roman" w:hAnsi="Times New Roman" w:cs="Times New Roman" w:eastAsia="Times New Roman"/>
                <w:b/>
                <w:sz w:val="21"/>
              </w:rPr>
              <w:t>time (12 emb.)</w:t>
            </w:r>
          </w:p>
        </w:tc>
        <w:tc>
          <w:tcPr>
            <w:tcW w:type="dxa" w:w="2268"/>
            <w:shd w:val="clear" w:fill="EDEFF2"/>
          </w:tcPr>
          <w:p>
            <w:pPr>
              <w:spacing w:line="240" w:lineRule="auto" w:after="0"/>
              <w:jc w:val="right"/>
            </w:pPr>
            <w:r/>
            <w:r>
              <w:rPr>
                <w:rFonts w:ascii="Times New Roman" w:hAnsi="Times New Roman" w:cs="Times New Roman" w:eastAsia="Times New Roman"/>
                <w:b/>
                <w:sz w:val="21"/>
              </w:rPr>
              <w:t>speed-up</w:t>
            </w:r>
          </w:p>
        </w:tc>
        <w:tc>
          <w:tcPr>
            <w:tcW w:type="dxa" w:w="2268"/>
            <w:shd w:val="clear" w:fill="EDEFF2"/>
          </w:tcPr>
          <w:p>
            <w:pPr>
              <w:spacing w:line="240" w:lineRule="auto" w:after="0"/>
              <w:jc w:val="right"/>
            </w:pPr>
            <w:r/>
            <w:r>
              <w:rPr>
                <w:rFonts w:ascii="Times New Roman" w:hAnsi="Times New Roman" w:cs="Times New Roman" w:eastAsia="Times New Roman"/>
                <w:b/>
                <w:sz w:val="21"/>
              </w:rPr>
              <w:t>cosine to CPU</w:t>
            </w:r>
          </w:p>
        </w:tc>
      </w:tr>
      <w:tr>
        <w:tc>
          <w:tcPr>
            <w:tcW w:type="dxa" w:w="2268"/>
          </w:tcPr>
          <w:p>
            <w:pPr>
              <w:spacing w:line="240" w:lineRule="auto" w:after="0"/>
              <w:jc w:val="left"/>
            </w:pPr>
            <w:r/>
            <w:r>
              <w:rPr>
                <w:rFonts w:ascii="Times New Roman" w:hAnsi="Times New Roman" w:cs="Times New Roman" w:eastAsia="Times New Roman"/>
                <w:sz w:val="21"/>
              </w:rPr>
              <w:t>central processor (baseline)</w:t>
            </w:r>
          </w:p>
        </w:tc>
        <w:tc>
          <w:tcPr>
            <w:tcW w:type="dxa" w:w="2268"/>
          </w:tcPr>
          <w:p>
            <w:pPr>
              <w:spacing w:line="240" w:lineRule="auto" w:after="0"/>
              <w:jc w:val="right"/>
            </w:pPr>
            <w:r/>
            <w:r>
              <w:rPr>
                <w:rFonts w:ascii="Times New Roman" w:hAnsi="Times New Roman" w:cs="Times New Roman" w:eastAsia="Times New Roman"/>
                <w:sz w:val="21"/>
              </w:rPr>
              <w:t>9657 ms</w:t>
            </w:r>
          </w:p>
        </w:tc>
        <w:tc>
          <w:tcPr>
            <w:tcW w:type="dxa" w:w="2268"/>
          </w:tcPr>
          <w:p>
            <w:pPr>
              <w:spacing w:line="240" w:lineRule="auto" w:after="0"/>
              <w:jc w:val="right"/>
            </w:pPr>
            <w:r/>
            <w:r>
              <w:rPr>
                <w:rFonts w:ascii="Times New Roman" w:hAnsi="Times New Roman" w:cs="Times New Roman" w:eastAsia="Times New Roman"/>
                <w:sz w:val="21"/>
              </w:rPr>
              <w:t>1.0×</w:t>
            </w:r>
          </w:p>
        </w:tc>
        <w:tc>
          <w:tcPr>
            <w:tcW w:type="dxa" w:w="2268"/>
          </w:tcPr>
          <w:p>
            <w:pPr>
              <w:spacing w:line="240" w:lineRule="auto" w:after="0"/>
              <w:jc w:val="right"/>
            </w:pPr>
            <w:r/>
            <w:r>
              <w:rPr>
                <w:rFonts w:ascii="Times New Roman" w:hAnsi="Times New Roman" w:cs="Times New Roman" w:eastAsia="Times New Roman"/>
                <w:sz w:val="21"/>
              </w:rPr>
              <w:t>—</w:t>
            </w:r>
          </w:p>
        </w:tc>
      </w:tr>
      <w:tr>
        <w:tc>
          <w:tcPr>
            <w:tcW w:type="dxa" w:w="2268"/>
          </w:tcPr>
          <w:p>
            <w:pPr>
              <w:spacing w:line="240" w:lineRule="auto" w:after="0"/>
              <w:jc w:val="left"/>
            </w:pPr>
            <w:r/>
            <w:r>
              <w:rPr>
                <w:rFonts w:ascii="Times New Roman" w:hAnsi="Times New Roman" w:cs="Times New Roman" w:eastAsia="Times New Roman"/>
                <w:sz w:val="21"/>
              </w:rPr>
              <w:t>+ batching (on 45 fragments)</w:t>
            </w:r>
          </w:p>
        </w:tc>
        <w:tc>
          <w:tcPr>
            <w:tcW w:type="dxa" w:w="2268"/>
          </w:tcPr>
          <w:p>
            <w:pPr>
              <w:spacing w:line="240" w:lineRule="auto" w:after="0"/>
              <w:jc w:val="right"/>
            </w:pPr>
            <w:r/>
            <w:r>
              <w:rPr>
                <w:rFonts w:ascii="Times New Roman" w:hAnsi="Times New Roman" w:cs="Times New Roman" w:eastAsia="Times New Roman"/>
                <w:sz w:val="21"/>
              </w:rPr>
              <w:t>≈ 11% faster</w:t>
            </w:r>
          </w:p>
        </w:tc>
        <w:tc>
          <w:tcPr>
            <w:tcW w:type="dxa" w:w="2268"/>
          </w:tcPr>
          <w:p>
            <w:pPr>
              <w:spacing w:line="240" w:lineRule="auto" w:after="0"/>
              <w:jc w:val="right"/>
            </w:pPr>
            <w:r/>
            <w:r>
              <w:rPr>
                <w:rFonts w:ascii="Times New Roman" w:hAnsi="Times New Roman" w:cs="Times New Roman" w:eastAsia="Times New Roman"/>
                <w:sz w:val="21"/>
              </w:rPr>
              <w:t>≈ 1.1×</w:t>
            </w:r>
          </w:p>
        </w:tc>
        <w:tc>
          <w:tcPr>
            <w:tcW w:type="dxa" w:w="2268"/>
          </w:tcPr>
          <w:p>
            <w:pPr>
              <w:spacing w:line="240" w:lineRule="auto" w:after="0"/>
              <w:jc w:val="right"/>
            </w:pPr>
            <w:r/>
            <w:r>
              <w:rPr>
                <w:rFonts w:ascii="Times New Roman" w:hAnsi="Times New Roman" w:cs="Times New Roman" w:eastAsia="Times New Roman"/>
                <w:sz w:val="21"/>
              </w:rPr>
              <w:t>≥ 0.99999997</w:t>
            </w:r>
          </w:p>
        </w:tc>
      </w:tr>
      <w:tr>
        <w:tc>
          <w:tcPr>
            <w:tcW w:type="dxa" w:w="2268"/>
            <w:shd w:val="clear" w:fill="EEFAF4"/>
          </w:tcPr>
          <w:p>
            <w:pPr>
              <w:spacing w:line="240" w:lineRule="auto" w:after="0"/>
              <w:jc w:val="left"/>
            </w:pPr>
            <w:r/>
            <w:r>
              <w:rPr>
                <w:rFonts w:ascii="Times New Roman" w:hAnsi="Times New Roman" w:cs="Times New Roman" w:eastAsia="Times New Roman"/>
                <w:b/>
                <w:sz w:val="21"/>
              </w:rPr>
              <w:t>graphics processor (DirectML)</w:t>
            </w:r>
          </w:p>
        </w:tc>
        <w:tc>
          <w:tcPr>
            <w:tcW w:type="dxa" w:w="2268"/>
            <w:shd w:val="clear" w:fill="EEFAF4"/>
          </w:tcPr>
          <w:p>
            <w:pPr>
              <w:spacing w:line="240" w:lineRule="auto" w:after="0"/>
              <w:jc w:val="right"/>
            </w:pPr>
            <w:r/>
            <w:r>
              <w:rPr>
                <w:rFonts w:ascii="Times New Roman" w:hAnsi="Times New Roman" w:cs="Times New Roman" w:eastAsia="Times New Roman"/>
                <w:sz w:val="21"/>
              </w:rPr>
              <w:t>1205 ms</w:t>
            </w:r>
          </w:p>
        </w:tc>
        <w:tc>
          <w:tcPr>
            <w:tcW w:type="dxa" w:w="2268"/>
            <w:shd w:val="clear" w:fill="EEFAF4"/>
          </w:tcPr>
          <w:p>
            <w:pPr>
              <w:spacing w:line="240" w:lineRule="auto" w:after="0"/>
              <w:jc w:val="right"/>
            </w:pPr>
            <w:r/>
            <w:r>
              <w:rPr>
                <w:rFonts w:ascii="Times New Roman" w:hAnsi="Times New Roman" w:cs="Times New Roman" w:eastAsia="Times New Roman"/>
                <w:sz w:val="21"/>
              </w:rPr>
              <w:t>8.0×</w:t>
            </w:r>
          </w:p>
        </w:tc>
        <w:tc>
          <w:tcPr>
            <w:tcW w:type="dxa" w:w="2268"/>
            <w:shd w:val="clear" w:fill="EEFAF4"/>
          </w:tcPr>
          <w:p>
            <w:pPr>
              <w:spacing w:line="240" w:lineRule="auto" w:after="0"/>
              <w:jc w:val="right"/>
            </w:pPr>
            <w:r/>
            <w:r>
              <w:rPr>
                <w:rFonts w:ascii="Times New Roman" w:hAnsi="Times New Roman" w:cs="Times New Roman" w:eastAsia="Times New Roman"/>
                <w:sz w:val="21"/>
              </w:rPr>
              <w:t>0.999984</w:t>
            </w:r>
          </w:p>
        </w:tc>
      </w:tr>
    </w:tbl>
    <w:p>
      <w:pPr>
        <w:spacing w:before="120" w:after="40"/>
        <w:jc w:val="center"/>
      </w:pPr>
      <w:r>
        <w:rPr>
          <w:rFonts w:ascii="Times New Roman" w:hAnsi="Times New Roman" w:cs="Times New Roman" w:eastAsia="Times New Roman"/>
          <w:color w:val="5B6573"/>
          <w:sz w:val="21"/>
        </w:rPr>
        <w:t>The dominant speed lever is the GPU; batching is a small free gain.</w:t>
      </w:r>
    </w:p>
    <w:p>
      <w:pPr>
        <w:spacing w:after="40"/>
      </w:pPr>
    </w:p>
    <w:p>
      <w:pPr>
        <w:spacing w:before="160" w:after="40"/>
        <w:jc w:val="center"/>
      </w:pPr>
      <w:r>
        <w:drawing>
          <wp:inline xmlns:a="http://schemas.openxmlformats.org/drawingml/2006/main" xmlns:pic="http://schemas.openxmlformats.org/drawingml/2006/picture">
            <wp:extent cx="4320000" cy="1657977"/>
            <wp:docPr id="7" name="Picture 7"/>
            <wp:cNvGraphicFramePr>
              <a:graphicFrameLocks noChangeAspect="1"/>
            </wp:cNvGraphicFramePr>
            <a:graphic>
              <a:graphicData uri="http://schemas.openxmlformats.org/drawingml/2006/picture">
                <pic:pic>
                  <pic:nvPicPr>
                    <pic:cNvPr id="0" name="fig7_gpu.png"/>
                    <pic:cNvPicPr/>
                  </pic:nvPicPr>
                  <pic:blipFill>
                    <a:blip r:embed="rId15"/>
                    <a:stretch>
                      <a:fillRect/>
                    </a:stretch>
                  </pic:blipFill>
                  <pic:spPr>
                    <a:xfrm>
                      <a:off x="0" y="0"/>
                      <a:ext cx="4320000" cy="1657977"/>
                    </a:xfrm>
                    <a:prstGeom prst="rect"/>
                  </pic:spPr>
                </pic:pic>
              </a:graphicData>
            </a:graphic>
          </wp:inline>
        </w:drawing>
      </w:r>
    </w:p>
    <w:p>
      <w:pPr>
        <w:spacing w:after="200"/>
        <w:jc w:val="center"/>
      </w:pPr>
      <w:r>
        <w:rPr>
          <w:rFonts w:ascii="Times New Roman" w:hAnsi="Times New Roman" w:cs="Times New Roman" w:eastAsia="Times New Roman"/>
          <w:color w:val="5B6573"/>
          <w:sz w:val="21"/>
        </w:rPr>
        <w:t>Figure 7 — Relative embedding throughput; the GPU is the dominant lever (numerically equivalent)</w:t>
      </w:r>
    </w:p>
    <w:p>
      <w:pPr>
        <w:keepNext/>
        <w:spacing w:before="200" w:after="80"/>
        <w:jc w:val="left"/>
      </w:pPr>
      <w:r>
        <w:rPr>
          <w:rFonts w:ascii="Times New Roman" w:hAnsi="Times New Roman" w:cs="Times New Roman" w:eastAsia="Times New Roman"/>
          <w:b/>
          <w:sz w:val="24"/>
        </w:rPr>
        <w:t>4.4 Stress test and reviving the symbolic stream</w:t>
      </w:r>
    </w:p>
    <w:p>
      <w:pPr>
        <w:spacing w:before="0" w:after="0"/>
        <w:ind w:firstLine="397"/>
        <w:jc w:val="both"/>
      </w:pPr>
      <w:r>
        <w:rPr>
          <w:rFonts w:ascii="Times New Roman" w:hAnsi="Times New Roman" w:cs="Times New Roman" w:eastAsia="Times New Roman"/>
        </w:rPr>
        <w:t>Beyond the 15-query regression set, the engine was stress-tested on three larger query regimes constructed over the full 345-document deployment, each probing a different retrieval mode (Table 6): (R1) topic to document, where the query is a document's topic label (lexically easy); (R2) cross-lingual and paraphrased questions sharing no surface tokens with the target, where a lexical baseline cannot win by construction; and (R3) exact unique code identifiers (document frequency one), the best case for lexical search.</w:t>
      </w:r>
    </w:p>
    <w:p>
      <w:pPr>
        <w:spacing w:before="0" w:after="0"/>
        <w:ind w:firstLine="397"/>
        <w:jc w:val="both"/>
      </w:pPr>
      <w:r>
        <w:rPr>
          <w:rFonts w:ascii="Times New Roman" w:hAnsi="Times New Roman" w:cs="Times New Roman" w:eastAsia="Times New Roman"/>
        </w:rPr>
        <w:t>The outcome splits sharply by regime. On meaning-bearing queries (R2) dense retrieval roughly tripled the lexical baseline (recall@5 0.684 against 0.237); on exact identifiers (R3) the lexical baseline dominated (0.990 against 0.286). R3 also exposed a defect: the hybrid equalled the semantic retriever exactly, i.e. the symbolic stream contributed nothing. The cause was that the indexer populated each document's symbols only from YAML frontmatter, leaving raw and code documents with empty symbol sets, so Stream A had nothing to match. The fix - automatic extraction of code identifiers (PascalCase, I-interfaces, m_-fields) from document content into the index - raised the share of documents with indexed symbols from 76 to 292 of 346 and, on R3, doubled hybrid recall@5 and raised MRR by about 150% with no regression on R1 or R2 (Table 7). The streams are thus complementary: dense retrieval owns meaning, the revived symbolic stream recovers exact-identifier lookup, and a verbatim file scan remains strongest for literal tokens. This is a further instance of the measurement-driven loop: a stress test revealed a silent failure that aggregate accuracy on the original set had hidden.</w:t>
      </w:r>
    </w:p>
    <w:p>
      <w:pPr>
        <w:spacing w:before="120" w:after="40"/>
        <w:jc w:val="left"/>
      </w:pPr>
      <w:r>
        <w:rPr>
          <w:rFonts w:ascii="Times New Roman" w:hAnsi="Times New Roman" w:cs="Times New Roman" w:eastAsia="Times New Roman"/>
          <w:b/>
          <w:color w:val="5B6573"/>
          <w:sz w:val="21"/>
        </w:rPr>
        <w:t>Table 6 - Three-regime stress test, recall@5 (full 345-document corpus)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fill="EDEFF2"/>
          </w:tcPr>
          <w:p>
            <w:pPr>
              <w:spacing w:line="240" w:lineRule="auto" w:after="0"/>
              <w:jc w:val="left"/>
            </w:pPr>
            <w:r/>
            <w:r>
              <w:rPr>
                <w:rFonts w:ascii="Times New Roman" w:hAnsi="Times New Roman" w:cs="Times New Roman" w:eastAsia="Times New Roman"/>
                <w:b/>
                <w:sz w:val="21"/>
              </w:rPr>
              <w:t>Query regime</w:t>
            </w:r>
          </w:p>
        </w:tc>
        <w:tc>
          <w:tcPr>
            <w:tcW w:type="dxa" w:w="1814"/>
            <w:shd w:val="clear" w:fill="EDEFF2"/>
          </w:tcPr>
          <w:p>
            <w:pPr>
              <w:spacing w:line="240" w:lineRule="auto" w:after="0"/>
              <w:jc w:val="right"/>
            </w:pPr>
            <w:r/>
            <w:r>
              <w:rPr>
                <w:rFonts w:ascii="Times New Roman" w:hAnsi="Times New Roman" w:cs="Times New Roman" w:eastAsia="Times New Roman"/>
                <w:b/>
                <w:sz w:val="21"/>
              </w:rPr>
              <w:t>n</w:t>
            </w:r>
          </w:p>
        </w:tc>
        <w:tc>
          <w:tcPr>
            <w:tcW w:type="dxa" w:w="1814"/>
            <w:shd w:val="clear" w:fill="EDEFF2"/>
          </w:tcPr>
          <w:p>
            <w:pPr>
              <w:spacing w:line="240" w:lineRule="auto" w:after="0"/>
              <w:jc w:val="right"/>
            </w:pPr>
            <w:r/>
            <w:r>
              <w:rPr>
                <w:rFonts w:ascii="Times New Roman" w:hAnsi="Times New Roman" w:cs="Times New Roman" w:eastAsia="Times New Roman"/>
                <w:b/>
                <w:sz w:val="21"/>
              </w:rPr>
              <w:t>hybrid</w:t>
            </w:r>
          </w:p>
        </w:tc>
        <w:tc>
          <w:tcPr>
            <w:tcW w:type="dxa" w:w="1814"/>
            <w:shd w:val="clear" w:fill="EDEFF2"/>
          </w:tcPr>
          <w:p>
            <w:pPr>
              <w:spacing w:line="240" w:lineRule="auto" w:after="0"/>
              <w:jc w:val="right"/>
            </w:pPr>
            <w:r/>
            <w:r>
              <w:rPr>
                <w:rFonts w:ascii="Times New Roman" w:hAnsi="Times New Roman" w:cs="Times New Roman" w:eastAsia="Times New Roman"/>
                <w:b/>
                <w:sz w:val="21"/>
              </w:rPr>
              <w:t>semantic</w:t>
            </w:r>
          </w:p>
        </w:tc>
        <w:tc>
          <w:tcPr>
            <w:tcW w:type="dxa" w:w="1814"/>
            <w:shd w:val="clear" w:fill="EDEFF2"/>
          </w:tcPr>
          <w:p>
            <w:pPr>
              <w:spacing w:line="240" w:lineRule="auto" w:after="0"/>
              <w:jc w:val="right"/>
            </w:pPr>
            <w:r/>
            <w:r>
              <w:rPr>
                <w:rFonts w:ascii="Times New Roman" w:hAnsi="Times New Roman" w:cs="Times New Roman" w:eastAsia="Times New Roman"/>
                <w:b/>
                <w:sz w:val="21"/>
              </w:rPr>
              <w:t>lexical</w:t>
            </w:r>
          </w:p>
        </w:tc>
      </w:tr>
      <w:tr>
        <w:tc>
          <w:tcPr>
            <w:tcW w:type="dxa" w:w="1814"/>
            <w:shd w:val="clear" w:fill="EEFAF4"/>
          </w:tcPr>
          <w:p>
            <w:pPr>
              <w:spacing w:line="240" w:lineRule="auto" w:after="0"/>
              <w:jc w:val="left"/>
            </w:pPr>
            <w:r/>
            <w:r>
              <w:rPr>
                <w:rFonts w:ascii="Times New Roman" w:hAnsi="Times New Roman" w:cs="Times New Roman" w:eastAsia="Times New Roman"/>
                <w:b/>
                <w:sz w:val="21"/>
              </w:rPr>
              <w:t>R2 - cross-lingual / paraphrase (meaning)</w:t>
            </w:r>
          </w:p>
        </w:tc>
        <w:tc>
          <w:tcPr>
            <w:tcW w:type="dxa" w:w="1814"/>
            <w:shd w:val="clear" w:fill="EEFAF4"/>
          </w:tcPr>
          <w:p>
            <w:pPr>
              <w:spacing w:line="240" w:lineRule="auto" w:after="0"/>
              <w:jc w:val="right"/>
            </w:pPr>
            <w:r/>
            <w:r>
              <w:rPr>
                <w:rFonts w:ascii="Times New Roman" w:hAnsi="Times New Roman" w:cs="Times New Roman" w:eastAsia="Times New Roman"/>
                <w:sz w:val="21"/>
              </w:rPr>
              <w:t>38</w:t>
            </w:r>
          </w:p>
        </w:tc>
        <w:tc>
          <w:tcPr>
            <w:tcW w:type="dxa" w:w="1814"/>
            <w:shd w:val="clear" w:fill="EEFAF4"/>
          </w:tcPr>
          <w:p>
            <w:pPr>
              <w:spacing w:line="240" w:lineRule="auto" w:after="0"/>
              <w:jc w:val="right"/>
            </w:pPr>
            <w:r/>
            <w:r>
              <w:rPr>
                <w:rFonts w:ascii="Times New Roman" w:hAnsi="Times New Roman" w:cs="Times New Roman" w:eastAsia="Times New Roman"/>
                <w:sz w:val="21"/>
              </w:rPr>
              <w:t>0.684</w:t>
            </w:r>
          </w:p>
        </w:tc>
        <w:tc>
          <w:tcPr>
            <w:tcW w:type="dxa" w:w="1814"/>
            <w:shd w:val="clear" w:fill="EEFAF4"/>
          </w:tcPr>
          <w:p>
            <w:pPr>
              <w:spacing w:line="240" w:lineRule="auto" w:after="0"/>
              <w:jc w:val="right"/>
            </w:pPr>
            <w:r/>
            <w:r>
              <w:rPr>
                <w:rFonts w:ascii="Times New Roman" w:hAnsi="Times New Roman" w:cs="Times New Roman" w:eastAsia="Times New Roman"/>
                <w:sz w:val="21"/>
              </w:rPr>
              <w:t>0.684</w:t>
            </w:r>
          </w:p>
        </w:tc>
        <w:tc>
          <w:tcPr>
            <w:tcW w:type="dxa" w:w="1814"/>
            <w:shd w:val="clear" w:fill="EEFAF4"/>
          </w:tcPr>
          <w:p>
            <w:pPr>
              <w:spacing w:line="240" w:lineRule="auto" w:after="0"/>
              <w:jc w:val="right"/>
            </w:pPr>
            <w:r/>
            <w:r>
              <w:rPr>
                <w:rFonts w:ascii="Times New Roman" w:hAnsi="Times New Roman" w:cs="Times New Roman" w:eastAsia="Times New Roman"/>
                <w:sz w:val="21"/>
              </w:rPr>
              <w:t>0.237</w:t>
            </w:r>
          </w:p>
        </w:tc>
      </w:tr>
      <w:tr>
        <w:tc>
          <w:tcPr>
            <w:tcW w:type="dxa" w:w="1814"/>
          </w:tcPr>
          <w:p>
            <w:pPr>
              <w:spacing w:line="240" w:lineRule="auto" w:after="0"/>
              <w:jc w:val="left"/>
            </w:pPr>
            <w:r/>
            <w:r>
              <w:rPr>
                <w:rFonts w:ascii="Times New Roman" w:hAnsi="Times New Roman" w:cs="Times New Roman" w:eastAsia="Times New Roman"/>
                <w:sz w:val="21"/>
              </w:rPr>
              <w:t>R1 - topic to document</w:t>
            </w:r>
          </w:p>
        </w:tc>
        <w:tc>
          <w:tcPr>
            <w:tcW w:type="dxa" w:w="1814"/>
          </w:tcPr>
          <w:p>
            <w:pPr>
              <w:spacing w:line="240" w:lineRule="auto" w:after="0"/>
              <w:jc w:val="right"/>
            </w:pPr>
            <w:r/>
            <w:r>
              <w:rPr>
                <w:rFonts w:ascii="Times New Roman" w:hAnsi="Times New Roman" w:cs="Times New Roman" w:eastAsia="Times New Roman"/>
                <w:sz w:val="21"/>
              </w:rPr>
              <w:t>100</w:t>
            </w:r>
          </w:p>
        </w:tc>
        <w:tc>
          <w:tcPr>
            <w:tcW w:type="dxa" w:w="1814"/>
          </w:tcPr>
          <w:p>
            <w:pPr>
              <w:spacing w:line="240" w:lineRule="auto" w:after="0"/>
              <w:jc w:val="right"/>
            </w:pPr>
            <w:r/>
            <w:r>
              <w:rPr>
                <w:rFonts w:ascii="Times New Roman" w:hAnsi="Times New Roman" w:cs="Times New Roman" w:eastAsia="Times New Roman"/>
                <w:sz w:val="21"/>
              </w:rPr>
              <w:t>0.929</w:t>
            </w:r>
          </w:p>
        </w:tc>
        <w:tc>
          <w:tcPr>
            <w:tcW w:type="dxa" w:w="1814"/>
          </w:tcPr>
          <w:p>
            <w:pPr>
              <w:spacing w:line="240" w:lineRule="auto" w:after="0"/>
              <w:jc w:val="right"/>
            </w:pPr>
            <w:r/>
            <w:r>
              <w:rPr>
                <w:rFonts w:ascii="Times New Roman" w:hAnsi="Times New Roman" w:cs="Times New Roman" w:eastAsia="Times New Roman"/>
                <w:sz w:val="21"/>
              </w:rPr>
              <w:t>0.929</w:t>
            </w:r>
          </w:p>
        </w:tc>
        <w:tc>
          <w:tcPr>
            <w:tcW w:type="dxa" w:w="1814"/>
          </w:tcPr>
          <w:p>
            <w:pPr>
              <w:spacing w:line="240" w:lineRule="auto" w:after="0"/>
              <w:jc w:val="right"/>
            </w:pPr>
            <w:r/>
            <w:r>
              <w:rPr>
                <w:rFonts w:ascii="Times New Roman" w:hAnsi="Times New Roman" w:cs="Times New Roman" w:eastAsia="Times New Roman"/>
                <w:sz w:val="21"/>
              </w:rPr>
              <w:t>0.838</w:t>
            </w:r>
          </w:p>
        </w:tc>
      </w:tr>
      <w:tr>
        <w:tc>
          <w:tcPr>
            <w:tcW w:type="dxa" w:w="1814"/>
          </w:tcPr>
          <w:p>
            <w:pPr>
              <w:spacing w:line="240" w:lineRule="auto" w:after="0"/>
              <w:jc w:val="left"/>
            </w:pPr>
            <w:r/>
            <w:r>
              <w:rPr>
                <w:rFonts w:ascii="Times New Roman" w:hAnsi="Times New Roman" w:cs="Times New Roman" w:eastAsia="Times New Roman"/>
                <w:sz w:val="21"/>
              </w:rPr>
              <w:t>R3 - exact unique identifier (after fix)</w:t>
            </w:r>
          </w:p>
        </w:tc>
        <w:tc>
          <w:tcPr>
            <w:tcW w:type="dxa" w:w="1814"/>
          </w:tcPr>
          <w:p>
            <w:pPr>
              <w:spacing w:line="240" w:lineRule="auto" w:after="0"/>
              <w:jc w:val="right"/>
            </w:pPr>
            <w:r/>
            <w:r>
              <w:rPr>
                <w:rFonts w:ascii="Times New Roman" w:hAnsi="Times New Roman" w:cs="Times New Roman" w:eastAsia="Times New Roman"/>
                <w:sz w:val="21"/>
              </w:rPr>
              <w:t>98</w:t>
            </w:r>
          </w:p>
        </w:tc>
        <w:tc>
          <w:tcPr>
            <w:tcW w:type="dxa" w:w="1814"/>
          </w:tcPr>
          <w:p>
            <w:pPr>
              <w:spacing w:line="240" w:lineRule="auto" w:after="0"/>
              <w:jc w:val="right"/>
            </w:pPr>
            <w:r/>
            <w:r>
              <w:rPr>
                <w:rFonts w:ascii="Times New Roman" w:hAnsi="Times New Roman" w:cs="Times New Roman" w:eastAsia="Times New Roman"/>
                <w:sz w:val="21"/>
              </w:rPr>
              <w:t>0.576</w:t>
            </w:r>
          </w:p>
        </w:tc>
        <w:tc>
          <w:tcPr>
            <w:tcW w:type="dxa" w:w="1814"/>
          </w:tcPr>
          <w:p>
            <w:pPr>
              <w:spacing w:line="240" w:lineRule="auto" w:after="0"/>
              <w:jc w:val="right"/>
            </w:pPr>
            <w:r/>
            <w:r>
              <w:rPr>
                <w:rFonts w:ascii="Times New Roman" w:hAnsi="Times New Roman" w:cs="Times New Roman" w:eastAsia="Times New Roman"/>
                <w:sz w:val="21"/>
              </w:rPr>
              <w:t>0.283</w:t>
            </w:r>
          </w:p>
        </w:tc>
        <w:tc>
          <w:tcPr>
            <w:tcW w:type="dxa" w:w="1814"/>
          </w:tcPr>
          <w:p>
            <w:pPr>
              <w:spacing w:line="240" w:lineRule="auto" w:after="0"/>
              <w:jc w:val="right"/>
            </w:pPr>
            <w:r/>
            <w:r>
              <w:rPr>
                <w:rFonts w:ascii="Times New Roman" w:hAnsi="Times New Roman" w:cs="Times New Roman" w:eastAsia="Times New Roman"/>
                <w:sz w:val="21"/>
              </w:rPr>
              <w:t>0.990</w:t>
            </w:r>
          </w:p>
        </w:tc>
      </w:tr>
    </w:tbl>
    <w:p>
      <w:pPr>
        <w:spacing w:before="120" w:after="40"/>
        <w:jc w:val="center"/>
      </w:pPr>
      <w:r>
        <w:rPr>
          <w:rFonts w:ascii="Times New Roman" w:hAnsi="Times New Roman" w:cs="Times New Roman" w:eastAsia="Times New Roman"/>
          <w:color w:val="5B6573"/>
          <w:sz w:val="21"/>
        </w:rPr>
        <w:t>Methods are complementary: the engine wins on meaning (R2), a verbatim scan wins on exact tokens (R3).</w:t>
      </w:r>
    </w:p>
    <w:p>
      <w:pPr>
        <w:spacing w:after="40"/>
      </w:pPr>
    </w:p>
    <w:p>
      <w:pPr>
        <w:spacing w:before="120" w:after="40"/>
        <w:jc w:val="left"/>
      </w:pPr>
      <w:r>
        <w:rPr>
          <w:rFonts w:ascii="Times New Roman" w:hAnsi="Times New Roman" w:cs="Times New Roman" w:eastAsia="Times New Roman"/>
          <w:b/>
          <w:color w:val="5B6573"/>
          <w:sz w:val="21"/>
        </w:rPr>
        <w:t>Table 7 - Reviving the symbolic stream (regime R3, exact identifiers)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EDEFF2"/>
          </w:tcPr>
          <w:p>
            <w:pPr>
              <w:spacing w:line="240" w:lineRule="auto" w:after="0"/>
              <w:jc w:val="left"/>
            </w:pPr>
            <w:r/>
            <w:r>
              <w:rPr>
                <w:rFonts w:ascii="Times New Roman" w:hAnsi="Times New Roman" w:cs="Times New Roman" w:eastAsia="Times New Roman"/>
                <w:b/>
                <w:sz w:val="21"/>
              </w:rPr>
              <w:t>Index symbol source</w:t>
            </w:r>
          </w:p>
        </w:tc>
        <w:tc>
          <w:tcPr>
            <w:tcW w:type="dxa" w:w="2268"/>
            <w:shd w:val="clear" w:fill="EDEFF2"/>
          </w:tcPr>
          <w:p>
            <w:pPr>
              <w:spacing w:line="240" w:lineRule="auto" w:after="0"/>
              <w:jc w:val="right"/>
            </w:pPr>
            <w:r/>
            <w:r>
              <w:rPr>
                <w:rFonts w:ascii="Times New Roman" w:hAnsi="Times New Roman" w:cs="Times New Roman" w:eastAsia="Times New Roman"/>
                <w:b/>
                <w:sz w:val="21"/>
              </w:rPr>
              <w:t>docs with symbols</w:t>
            </w:r>
          </w:p>
        </w:tc>
        <w:tc>
          <w:tcPr>
            <w:tcW w:type="dxa" w:w="2268"/>
            <w:shd w:val="clear" w:fill="EDEFF2"/>
          </w:tcPr>
          <w:p>
            <w:pPr>
              <w:spacing w:line="240" w:lineRule="auto" w:after="0"/>
              <w:jc w:val="right"/>
            </w:pPr>
            <w:r/>
            <w:r>
              <w:rPr>
                <w:rFonts w:ascii="Times New Roman" w:hAnsi="Times New Roman" w:cs="Times New Roman" w:eastAsia="Times New Roman"/>
                <w:b/>
                <w:sz w:val="21"/>
              </w:rPr>
              <w:t>hybrid recall@5</w:t>
            </w:r>
          </w:p>
        </w:tc>
        <w:tc>
          <w:tcPr>
            <w:tcW w:type="dxa" w:w="2268"/>
            <w:shd w:val="clear" w:fill="EDEFF2"/>
          </w:tcPr>
          <w:p>
            <w:pPr>
              <w:spacing w:line="240" w:lineRule="auto" w:after="0"/>
              <w:jc w:val="right"/>
            </w:pPr>
            <w:r/>
            <w:r>
              <w:rPr>
                <w:rFonts w:ascii="Times New Roman" w:hAnsi="Times New Roman" w:cs="Times New Roman" w:eastAsia="Times New Roman"/>
                <w:b/>
                <w:sz w:val="21"/>
              </w:rPr>
              <w:t>hybrid MRR</w:t>
            </w:r>
          </w:p>
        </w:tc>
      </w:tr>
      <w:tr>
        <w:tc>
          <w:tcPr>
            <w:tcW w:type="dxa" w:w="2268"/>
          </w:tcPr>
          <w:p>
            <w:pPr>
              <w:spacing w:line="240" w:lineRule="auto" w:after="0"/>
              <w:jc w:val="left"/>
            </w:pPr>
            <w:r/>
            <w:r>
              <w:rPr>
                <w:rFonts w:ascii="Times New Roman" w:hAnsi="Times New Roman" w:cs="Times New Roman" w:eastAsia="Times New Roman"/>
                <w:sz w:val="21"/>
              </w:rPr>
              <w:t>frontmatter only (before)</w:t>
            </w:r>
          </w:p>
        </w:tc>
        <w:tc>
          <w:tcPr>
            <w:tcW w:type="dxa" w:w="2268"/>
          </w:tcPr>
          <w:p>
            <w:pPr>
              <w:spacing w:line="240" w:lineRule="auto" w:after="0"/>
              <w:jc w:val="right"/>
            </w:pPr>
            <w:r/>
            <w:r>
              <w:rPr>
                <w:rFonts w:ascii="Times New Roman" w:hAnsi="Times New Roman" w:cs="Times New Roman" w:eastAsia="Times New Roman"/>
                <w:sz w:val="21"/>
              </w:rPr>
              <w:t>76 / 346</w:t>
            </w:r>
          </w:p>
        </w:tc>
        <w:tc>
          <w:tcPr>
            <w:tcW w:type="dxa" w:w="2268"/>
          </w:tcPr>
          <w:p>
            <w:pPr>
              <w:spacing w:line="240" w:lineRule="auto" w:after="0"/>
              <w:jc w:val="right"/>
            </w:pPr>
            <w:r/>
            <w:r>
              <w:rPr>
                <w:rFonts w:ascii="Times New Roman" w:hAnsi="Times New Roman" w:cs="Times New Roman" w:eastAsia="Times New Roman"/>
                <w:sz w:val="21"/>
              </w:rPr>
              <w:t>0.286</w:t>
            </w:r>
          </w:p>
        </w:tc>
        <w:tc>
          <w:tcPr>
            <w:tcW w:type="dxa" w:w="2268"/>
          </w:tcPr>
          <w:p>
            <w:pPr>
              <w:spacing w:line="240" w:lineRule="auto" w:after="0"/>
              <w:jc w:val="right"/>
            </w:pPr>
            <w:r/>
            <w:r>
              <w:rPr>
                <w:rFonts w:ascii="Times New Roman" w:hAnsi="Times New Roman" w:cs="Times New Roman" w:eastAsia="Times New Roman"/>
                <w:sz w:val="21"/>
              </w:rPr>
              <w:t>0.227</w:t>
            </w:r>
          </w:p>
        </w:tc>
      </w:tr>
      <w:tr>
        <w:tc>
          <w:tcPr>
            <w:tcW w:type="dxa" w:w="2268"/>
            <w:shd w:val="clear" w:fill="EEFAF4"/>
          </w:tcPr>
          <w:p>
            <w:pPr>
              <w:spacing w:line="240" w:lineRule="auto" w:after="0"/>
              <w:jc w:val="left"/>
            </w:pPr>
            <w:r/>
            <w:r>
              <w:rPr>
                <w:rFonts w:ascii="Times New Roman" w:hAnsi="Times New Roman" w:cs="Times New Roman" w:eastAsia="Times New Roman"/>
                <w:b/>
                <w:sz w:val="21"/>
              </w:rPr>
              <w:t>+ content auto-extraction (after)</w:t>
            </w:r>
          </w:p>
        </w:tc>
        <w:tc>
          <w:tcPr>
            <w:tcW w:type="dxa" w:w="2268"/>
            <w:shd w:val="clear" w:fill="EEFAF4"/>
          </w:tcPr>
          <w:p>
            <w:pPr>
              <w:spacing w:line="240" w:lineRule="auto" w:after="0"/>
              <w:jc w:val="right"/>
            </w:pPr>
            <w:r/>
            <w:r>
              <w:rPr>
                <w:rFonts w:ascii="Times New Roman" w:hAnsi="Times New Roman" w:cs="Times New Roman" w:eastAsia="Times New Roman"/>
                <w:sz w:val="21"/>
              </w:rPr>
              <w:t>292 / 346</w:t>
            </w:r>
          </w:p>
        </w:tc>
        <w:tc>
          <w:tcPr>
            <w:tcW w:type="dxa" w:w="2268"/>
            <w:shd w:val="clear" w:fill="EEFAF4"/>
          </w:tcPr>
          <w:p>
            <w:pPr>
              <w:spacing w:line="240" w:lineRule="auto" w:after="0"/>
              <w:jc w:val="right"/>
            </w:pPr>
            <w:r/>
            <w:r>
              <w:rPr>
                <w:rFonts w:ascii="Times New Roman" w:hAnsi="Times New Roman" w:cs="Times New Roman" w:eastAsia="Times New Roman"/>
                <w:sz w:val="21"/>
              </w:rPr>
              <w:t>0.576</w:t>
            </w:r>
          </w:p>
        </w:tc>
        <w:tc>
          <w:tcPr>
            <w:tcW w:type="dxa" w:w="2268"/>
            <w:shd w:val="clear" w:fill="EEFAF4"/>
          </w:tcPr>
          <w:p>
            <w:pPr>
              <w:spacing w:line="240" w:lineRule="auto" w:after="0"/>
              <w:jc w:val="right"/>
            </w:pPr>
            <w:r/>
            <w:r>
              <w:rPr>
                <w:rFonts w:ascii="Times New Roman" w:hAnsi="Times New Roman" w:cs="Times New Roman" w:eastAsia="Times New Roman"/>
                <w:sz w:val="21"/>
              </w:rPr>
              <w:t>0.567</w:t>
            </w:r>
          </w:p>
        </w:tc>
      </w:tr>
    </w:tbl>
    <w:p>
      <w:pPr>
        <w:spacing w:before="120" w:after="40"/>
        <w:jc w:val="center"/>
      </w:pPr>
      <w:r>
        <w:rPr>
          <w:rFonts w:ascii="Times New Roman" w:hAnsi="Times New Roman" w:cs="Times New Roman" w:eastAsia="Times New Roman"/>
          <w:color w:val="5B6573"/>
          <w:sz w:val="21"/>
        </w:rPr>
        <w:t>Auto-extracting code identifiers doubles exact-identifier recall@5 (+101%) and MRR (+150%); semantic and lexical unchanged.</w:t>
      </w:r>
    </w:p>
    <w:p>
      <w:pPr>
        <w:spacing w:after="40"/>
      </w:pPr>
    </w:p>
    <w:p>
      <w:pPr>
        <w:keepNext/>
        <w:spacing w:before="240" w:after="80"/>
        <w:jc w:val="left"/>
      </w:pPr>
      <w:r>
        <w:rPr>
          <w:rFonts w:ascii="Times New Roman" w:hAnsi="Times New Roman" w:cs="Times New Roman" w:eastAsia="Times New Roman"/>
          <w:b/>
          <w:sz w:val="24"/>
        </w:rPr>
        <w:t>5. Discussion</w:t>
      </w:r>
    </w:p>
    <w:p>
      <w:pPr>
        <w:spacing w:before="0" w:after="0"/>
        <w:ind w:firstLine="397"/>
        <w:jc w:val="both"/>
      </w:pPr>
      <w:r>
        <w:rPr>
          <w:rFonts w:ascii="Times New Roman" w:hAnsi="Times New Roman" w:cs="Times New Roman" w:eastAsia="Times New Roman"/>
        </w:rPr>
        <w:t>The data show that the dense retrieval layer is not decorative: it substantially outperforms the lexical baseline in both recall and ranking. For natural-language questions semantic retrieval is the working tool; the symbolic stream is neutral on this set but is intended to raise precision on identifier queries not present in the set. Each method improvement (§4) was driven by measurement rather than by an a priori assumption, which illustrates the embedding of the evaluation harness into the engineering loop. With two shards the clustering mechanism does not affect the result and begins to matter only across many layers. The architectural choices (§2) target maintainability rather than benchmark scores: the source-vs-derived split with provenance keeps drift detectable, and the shared-model marker removes per-base duplication without changing retrieval behavior.</w:t>
      </w:r>
    </w:p>
    <w:p>
      <w:pPr>
        <w:keepNext/>
        <w:spacing w:before="240" w:after="80"/>
        <w:jc w:val="left"/>
      </w:pPr>
      <w:r>
        <w:rPr>
          <w:rFonts w:ascii="Times New Roman" w:hAnsi="Times New Roman" w:cs="Times New Roman" w:eastAsia="Times New Roman"/>
          <w:b/>
          <w:sz w:val="24"/>
        </w:rPr>
        <w:t>6. Limitations and Threats to Validity</w:t>
      </w:r>
    </w:p>
    <w:p>
      <w:pPr>
        <w:spacing w:before="0" w:after="40"/>
        <w:jc w:val="both"/>
      </w:pPr>
      <w:r>
        <w:rPr>
          <w:rFonts w:ascii="Times New Roman" w:hAnsi="Times New Roman" w:cs="Times New Roman" w:eastAsia="Times New Roman"/>
        </w:rPr>
        <w:t>The following limitations are established:</w:t>
      </w:r>
    </w:p>
    <w:p>
      <w:pPr>
        <w:pStyle w:val="ListBullet"/>
        <w:spacing w:line="360" w:lineRule="auto"/>
      </w:pPr>
      <w:r>
        <w:rPr>
          <w:rFonts w:ascii="Times New Roman" w:hAnsi="Times New Roman" w:cs="Times New Roman" w:eastAsia="Times New Roman"/>
        </w:rPr>
        <w:t>the small query set (n = 15) leads to wide confidence intervals; the numbers indicate direction, not a precise value;</w:t>
      </w:r>
    </w:p>
    <w:p>
      <w:pPr>
        <w:pStyle w:val="ListBullet"/>
        <w:spacing w:line="360" w:lineRule="auto"/>
      </w:pPr>
      <w:r>
        <w:rPr>
          <w:rFonts w:ascii="Times New Roman" w:hAnsi="Times New Roman" w:cs="Times New Roman" w:eastAsia="Times New Roman"/>
        </w:rPr>
        <w:t>the results are obtained on a single corpus; generalization to other domains is untested;</w:t>
      </w:r>
    </w:p>
    <w:p>
      <w:pPr>
        <w:pStyle w:val="ListBullet"/>
        <w:spacing w:line="360" w:lineRule="auto"/>
      </w:pPr>
      <w:r>
        <w:rPr>
          <w:rFonts w:ascii="Times New Roman" w:hAnsi="Times New Roman" w:cs="Times New Roman" w:eastAsia="Times New Roman"/>
        </w:rPr>
        <w:t>relevance labels are a proxy (required sources of a regression set), which may bias the recall estimate;</w:t>
      </w:r>
    </w:p>
    <w:p>
      <w:pPr>
        <w:pStyle w:val="ListBullet"/>
        <w:spacing w:line="360" w:lineRule="auto"/>
      </w:pPr>
      <w:r>
        <w:rPr>
          <w:rFonts w:ascii="Times New Roman" w:hAnsi="Times New Roman" w:cs="Times New Roman" w:eastAsia="Times New Roman"/>
        </w:rPr>
        <w:t>in the evaluation 2 of 6 layers are indexed, and fewer distractor documents make retrieval easier than in full deployment;</w:t>
      </w:r>
    </w:p>
    <w:p>
      <w:pPr>
        <w:pStyle w:val="ListBullet"/>
        <w:spacing w:line="360" w:lineRule="auto"/>
      </w:pPr>
      <w:r>
        <w:rPr>
          <w:rFonts w:ascii="Times New Roman" w:hAnsi="Times New Roman" w:cs="Times New Roman" w:eastAsia="Times New Roman"/>
        </w:rPr>
        <w:t>recall@5 = 0.633 implies a loss of about 37% of relevant material in the top-5; raising recall requires a larger k, query expansion, or a change of representation rather than re-ranking;</w:t>
      </w:r>
    </w:p>
    <w:p>
      <w:pPr>
        <w:pStyle w:val="ListBullet"/>
        <w:spacing w:line="360" w:lineRule="auto"/>
      </w:pPr>
      <w:r>
        <w:rPr>
          <w:rFonts w:ascii="Times New Roman" w:hAnsi="Times New Roman" w:cs="Times New Roman" w:eastAsia="Times New Roman"/>
        </w:rPr>
        <w:t>high indexing speed needs a GPU and an appropriate runtime build, otherwise CPU fallback applies;</w:t>
      </w:r>
    </w:p>
    <w:p>
      <w:pPr>
        <w:pStyle w:val="ListBullet"/>
        <w:spacing w:line="360" w:lineRule="auto"/>
      </w:pPr>
      <w:r>
        <w:rPr>
          <w:rFonts w:ascii="Times New Roman" w:hAnsi="Times New Roman" w:cs="Times New Roman" w:eastAsia="Times New Roman"/>
        </w:rPr>
        <w:t>provenance makes divergence detectable but does not remove the dual source of truth between code and derived pages.</w:t>
      </w:r>
    </w:p>
    <w:p>
      <w:pPr>
        <w:keepNext/>
        <w:spacing w:before="240" w:after="80"/>
        <w:jc w:val="left"/>
      </w:pPr>
      <w:r>
        <w:rPr>
          <w:rFonts w:ascii="Times New Roman" w:hAnsi="Times New Roman" w:cs="Times New Roman" w:eastAsia="Times New Roman"/>
          <w:b/>
          <w:sz w:val="24"/>
        </w:rPr>
        <w:t>7. Conclusion</w:t>
      </w:r>
    </w:p>
    <w:p>
      <w:pPr>
        <w:spacing w:before="0" w:after="0"/>
        <w:ind w:firstLine="397"/>
        <w:jc w:val="both"/>
      </w:pPr>
      <w:r>
        <w:rPr>
          <w:rFonts w:ascii="Times New Roman" w:hAnsi="Times New Roman" w:cs="Times New Roman" w:eastAsia="Times New Roman"/>
        </w:rPr>
        <w:t>In this work a layered, self-validating knowledge-base architecture is described in detail and an often-asserted assumption about the effectiveness of a dedicated retrieval layer is turned into a measured fact: on a real deployed knowledge base a layered hybrid retrieval engine substantially outperforms the lexical baseline (recall@5 0.633 against 0.333, MRR 0.718 against 0.435). A measurement-driven refinement loop is demonstrated: two ranking corrections (+12% MRR) and the choice of chunking strategy (+7.8% MRR) were adopted after confirmation by data, and the speed optimizations (eight-fold GPU speed-up, batching) were introduced after proven numerical equivalence. A three-regime stress test extended the evaluation and exposed a silent failure (a symbolic stream left empty by frontmatter-only symbols) whose correction (content auto-extraction of code identifiers) doubled exact-identifier retrieval (hybrid recall@5 0.286 to 0.576, MRR 0.227 to 0.567) without regressing the other regimes. The architecture contributes a source-vs-derived split with content-hash provenance and a machine-shared, marker-resolved embedding model that eliminates per-base duplication. The limitations are documented and mapped to concrete directions for further experiments. All results are reproducible with the accompanying harness.</w:t>
      </w:r>
    </w:p>
    <w:p>
      <w:pPr>
        <w:keepNext/>
        <w:spacing w:before="240" w:after="80"/>
        <w:jc w:val="left"/>
      </w:pPr>
      <w:r>
        <w:rPr>
          <w:rFonts w:ascii="Times New Roman" w:hAnsi="Times New Roman" w:cs="Times New Roman" w:eastAsia="Times New Roman"/>
          <w:b/>
          <w:sz w:val="24"/>
        </w:rPr>
        <w:t>References</w:t>
      </w:r>
    </w:p>
    <w:p>
      <w:pPr>
        <w:ind w:left="397" w:hanging="397"/>
        <w:jc w:val="both"/>
      </w:pPr>
      <w:r>
        <w:rPr>
          <w:rFonts w:ascii="Times New Roman" w:hAnsi="Times New Roman" w:cs="Times New Roman" w:eastAsia="Times New Roman"/>
          <w:b/>
          <w:sz w:val="22"/>
        </w:rPr>
        <w:t xml:space="preserve">1. </w:t>
      </w:r>
      <w:r>
        <w:rPr>
          <w:rFonts w:ascii="Times New Roman" w:hAnsi="Times New Roman" w:cs="Times New Roman" w:eastAsia="Times New Roman"/>
          <w:sz w:val="22"/>
        </w:rPr>
        <w:t>Chase H. et al. LangChain: RecursiveCharacterTextSplitter — structure-aware text splitting. Documentation, 2023. URL: python.langchain.com.</w:t>
      </w:r>
    </w:p>
    <w:p>
      <w:pPr>
        <w:ind w:left="397" w:hanging="397"/>
        <w:jc w:val="both"/>
      </w:pPr>
      <w:r>
        <w:rPr>
          <w:rFonts w:ascii="Times New Roman" w:hAnsi="Times New Roman" w:cs="Times New Roman" w:eastAsia="Times New Roman"/>
          <w:b/>
          <w:sz w:val="22"/>
        </w:rPr>
        <w:t xml:space="preserve">2. </w:t>
      </w:r>
      <w:r>
        <w:rPr>
          <w:rFonts w:ascii="Times New Roman" w:hAnsi="Times New Roman" w:cs="Times New Roman" w:eastAsia="Times New Roman"/>
          <w:sz w:val="22"/>
        </w:rPr>
        <w:t>Gao Y. et al. Retrieval-Augmented Generation for Large Language Models: A Survey. arXiv:2312.10997, 2023.</w:t>
      </w:r>
    </w:p>
    <w:p>
      <w:pPr>
        <w:ind w:left="397" w:hanging="397"/>
        <w:jc w:val="both"/>
      </w:pPr>
      <w:r>
        <w:rPr>
          <w:rFonts w:ascii="Times New Roman" w:hAnsi="Times New Roman" w:cs="Times New Roman" w:eastAsia="Times New Roman"/>
          <w:b/>
          <w:sz w:val="22"/>
        </w:rPr>
        <w:t xml:space="preserve">3. </w:t>
      </w:r>
      <w:r>
        <w:rPr>
          <w:rFonts w:ascii="Times New Roman" w:hAnsi="Times New Roman" w:cs="Times New Roman" w:eastAsia="Times New Roman"/>
          <w:sz w:val="22"/>
        </w:rPr>
        <w:t>Johnson J., Douze M., Jégou H. Billion-scale similarity search with GPUs (FAISS) // IEEE Transactions on Big Data. 2019. arXiv:1702.08734.</w:t>
      </w:r>
    </w:p>
    <w:p>
      <w:pPr>
        <w:ind w:left="397" w:hanging="397"/>
        <w:jc w:val="both"/>
      </w:pPr>
      <w:r>
        <w:rPr>
          <w:rFonts w:ascii="Times New Roman" w:hAnsi="Times New Roman" w:cs="Times New Roman" w:eastAsia="Times New Roman"/>
          <w:b/>
          <w:sz w:val="22"/>
        </w:rPr>
        <w:t xml:space="preserve">4. </w:t>
      </w:r>
      <w:r>
        <w:rPr>
          <w:rFonts w:ascii="Times New Roman" w:hAnsi="Times New Roman" w:cs="Times New Roman" w:eastAsia="Times New Roman"/>
          <w:sz w:val="22"/>
        </w:rPr>
        <w:t>Karpukhin V. et al. Dense Passage Retrieval for Open-Domain Question Answering // EMNLP. 2020. arXiv:2004.04906.</w:t>
      </w:r>
    </w:p>
    <w:p>
      <w:pPr>
        <w:ind w:left="397" w:hanging="397"/>
        <w:jc w:val="both"/>
      </w:pPr>
      <w:r>
        <w:rPr>
          <w:rFonts w:ascii="Times New Roman" w:hAnsi="Times New Roman" w:cs="Times New Roman" w:eastAsia="Times New Roman"/>
          <w:b/>
          <w:sz w:val="22"/>
        </w:rPr>
        <w:t xml:space="preserve">5. </w:t>
      </w:r>
      <w:r>
        <w:rPr>
          <w:rFonts w:ascii="Times New Roman" w:hAnsi="Times New Roman" w:cs="Times New Roman" w:eastAsia="Times New Roman"/>
          <w:sz w:val="22"/>
        </w:rPr>
        <w:t>Lewis P. et al. Retrieval-Augmented Generation for Knowledge-Intensive NLP Tasks // NeurIPS. 2020. arXiv:2005.11401.</w:t>
      </w:r>
    </w:p>
    <w:p>
      <w:pPr>
        <w:ind w:left="397" w:hanging="397"/>
        <w:jc w:val="both"/>
      </w:pPr>
      <w:r>
        <w:rPr>
          <w:rFonts w:ascii="Times New Roman" w:hAnsi="Times New Roman" w:cs="Times New Roman" w:eastAsia="Times New Roman"/>
          <w:b/>
          <w:sz w:val="22"/>
        </w:rPr>
        <w:t xml:space="preserve">6. </w:t>
      </w:r>
      <w:r>
        <w:rPr>
          <w:rFonts w:ascii="Times New Roman" w:hAnsi="Times New Roman" w:cs="Times New Roman" w:eastAsia="Times New Roman"/>
          <w:sz w:val="22"/>
        </w:rPr>
        <w:t>Manning C. D., Raghavan P., Schütze H. Introduction to Information Retrieval. Cambridge University Press, 2008. 482 p.</w:t>
      </w:r>
    </w:p>
    <w:p>
      <w:pPr>
        <w:ind w:left="397" w:hanging="397"/>
        <w:jc w:val="both"/>
      </w:pPr>
      <w:r>
        <w:rPr>
          <w:rFonts w:ascii="Times New Roman" w:hAnsi="Times New Roman" w:cs="Times New Roman" w:eastAsia="Times New Roman"/>
          <w:b/>
          <w:sz w:val="22"/>
        </w:rPr>
        <w:t xml:space="preserve">7. </w:t>
      </w:r>
      <w:r>
        <w:rPr>
          <w:rFonts w:ascii="Times New Roman" w:hAnsi="Times New Roman" w:cs="Times New Roman" w:eastAsia="Times New Roman"/>
          <w:sz w:val="22"/>
        </w:rPr>
        <w:t>Järvelin K., Kekäläinen J. Cumulated Gain-based Evaluation of IR Techniques // ACM TOIS. 2002. Vol. 20, no. 4. P. 422–446.</w:t>
      </w:r>
    </w:p>
    <w:p>
      <w:pPr>
        <w:ind w:left="397" w:hanging="397"/>
        <w:jc w:val="both"/>
      </w:pPr>
      <w:r>
        <w:rPr>
          <w:rFonts w:ascii="Times New Roman" w:hAnsi="Times New Roman" w:cs="Times New Roman" w:eastAsia="Times New Roman"/>
          <w:b/>
          <w:sz w:val="22"/>
        </w:rPr>
        <w:t xml:space="preserve">8. </w:t>
      </w:r>
      <w:r>
        <w:rPr>
          <w:rFonts w:ascii="Times New Roman" w:hAnsi="Times New Roman" w:cs="Times New Roman" w:eastAsia="Times New Roman"/>
          <w:sz w:val="22"/>
        </w:rPr>
        <w:t>Sturua S. et al. jina-embeddings-v3: Multilingual Embeddings with Task LoRA. arXiv:2409.10173, 2024.</w:t>
      </w:r>
    </w:p>
    <w:p>
      <w:pPr>
        <w:ind w:left="397" w:hanging="397"/>
        <w:jc w:val="both"/>
      </w:pPr>
      <w:r>
        <w:rPr>
          <w:rFonts w:ascii="Times New Roman" w:hAnsi="Times New Roman" w:cs="Times New Roman" w:eastAsia="Times New Roman"/>
          <w:b/>
          <w:sz w:val="22"/>
        </w:rPr>
        <w:t xml:space="preserve">9. </w:t>
      </w:r>
      <w:r>
        <w:rPr>
          <w:rFonts w:ascii="Times New Roman" w:hAnsi="Times New Roman" w:cs="Times New Roman" w:eastAsia="Times New Roman"/>
          <w:sz w:val="22"/>
        </w:rPr>
        <w:t>Microsoft. ONNX Runtime Execution Providers: DirectML. Documentation, 2023. URL: onnxruntime.ai/docs/execution-providers.</w:t>
      </w:r>
    </w:p>
    <w:p>
      <w:pPr>
        <w:ind w:left="397" w:hanging="397"/>
        <w:jc w:val="both"/>
      </w:pPr>
      <w:r>
        <w:rPr>
          <w:rFonts w:ascii="Times New Roman" w:hAnsi="Times New Roman" w:cs="Times New Roman" w:eastAsia="Times New Roman"/>
          <w:b/>
          <w:sz w:val="22"/>
        </w:rPr>
        <w:t xml:space="preserve">10. </w:t>
      </w:r>
      <w:r>
        <w:rPr>
          <w:rFonts w:ascii="Times New Roman" w:hAnsi="Times New Roman" w:cs="Times New Roman" w:eastAsia="Times New Roman"/>
          <w:sz w:val="22"/>
        </w:rPr>
        <w:t>Hugging Face. Transformers.js — ONNX-runtime inference in JavaScript. 2023. URL: github.com/huggingface/transformers.js.</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