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Times New Roman" w:hAnsi="Times New Roman" w:cs="Times New Roman" w:eastAsia="Times New Roman"/>
          <w:color w:val="5B6573"/>
          <w:sz w:val="21"/>
        </w:rPr>
        <w:t>УДК 004.8 (искусственный интеллект); 004 (информатика)</w:t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Слоевая самовалидируемая база знаний с гибридным поиском для заземления LLM-агентов: архитектура, метод и эмпирическая оценка на реальном корпусе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/>
        </w:rPr>
        <w:t>Давлетбаев Александр Сергеевич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i/>
        </w:rPr>
        <w:t>Ведущий инженер-программист, ООО «КБ Продакшн»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i/>
          <w:color w:val="5B6573"/>
          <w:sz w:val="21"/>
        </w:rPr>
        <w:t>Разработка системы и численные эксперименты выполнены с применением ИИ-инструментов (LLM-ассистентов). Фреймворк DavASko LLM Wiki, v3.x — полностью офлайн, воспроизводимо.</w:t>
      </w:r>
    </w:p>
    <w:p>
      <w:pPr>
        <w:keepNext/>
        <w:spacing w:before="8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Аннотация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Эмпирически проверяется, превосходит ли курируемый гибридный (символьный и семантический) слой поиска по базе знаний тривиальный лексический поиск по файлам при заземлении LLM-агентов. Подробно описана архитектура системы: слоевая модель со строго нисходящими зависимостями, отделяющая иммутабельные снимки источников от производных курируемых страниц с провенансом по контент-хешам; гибридный ретривер с адаптивным порогом на запрос; и дедуплицированная, общая для машины модель эмбеддингов, разрешаемая через системную метку. На развёрнутой базе из 162 документов с 15 размеченными запросами вычислены recall@5, MRR и nDCG@5 для предложенного движка и базлайнов. Семантический поиск даёт recall@5 0.633 и MRR 0.718 против 0.333 и 0.435 у лексического базлайна; структурный чанкинг превосходит оконный на 7.8% MRR; эмбеддинг на графическом процессоре даёт восьмикратное ускорение. Стресс-тест на трёх режимах запросов (смысл, тема, точный идентификатор) дополнительно вскрыл и устранил неработавший символьный поток, удвоив поиск по точному идентификатору. Слой поиска оправдан измерением.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  <w:b/>
        </w:rPr>
        <w:t xml:space="preserve">Ключевые слова: </w:t>
      </w:r>
      <w:r>
        <w:rPr>
          <w:rFonts w:ascii="Times New Roman" w:hAnsi="Times New Roman" w:cs="Times New Roman" w:eastAsia="Times New Roman"/>
        </w:rPr>
        <w:t>информационный поиск; база знаний; дополненная поиском генерация; векторные эмбеддинги; слоевая архитектура; оценка качества ранжирования; LLM-агенты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Abstract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It is verified empirically whether a curated hybrid (symbolic and semantic) retrieval layer over a knowledge base outperforms a trivial lexical file search when grounding LLM agents. The architecture is described in detail: a downward-dependent layer model separating immutable source snapshots from derived curated pages with content-hash provenance; a hybrid retriever with a per-query adaptive threshold; and a deduplicated, machine-shared embedding model resolved through a system marker. On a deployed 162-document base with 15 labeled queries, semantic retrieval yields recall@5 0.633 and MRR 0.718 against 0.333 and 0.435 for the lexical baseline; structure-aware chunking exceeds the fixed-window one by 7.8% MRR; GPU embedding gives an eight-fold speed-up. The retrieval layer is justified by measurement.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  <w:b/>
        </w:rPr>
        <w:t xml:space="preserve">Keywords: </w:t>
      </w:r>
      <w:r>
        <w:rPr>
          <w:rFonts w:ascii="Times New Roman" w:hAnsi="Times New Roman" w:cs="Times New Roman" w:eastAsia="Times New Roman"/>
        </w:rPr>
        <w:t>information retrieval; knowledge base; retrieval-augmented generation; vector embeddings; layered architecture; ranking quality evaluation; LLM agents</w:t>
      </w: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Введение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  <w:b/>
        </w:rPr>
        <w:t xml:space="preserve">Актуальность. </w:t>
      </w:r>
      <w:r>
        <w:rPr>
          <w:rFonts w:ascii="Times New Roman" w:hAnsi="Times New Roman" w:cs="Times New Roman" w:eastAsia="Times New Roman"/>
        </w:rPr>
        <w:t>Языковые модели-агенты в задачах разработки всё чаще оперируют большим и изменяющимся знанием проекта. Распространённый подход к заземлению — дополненная поиском генерация (RAG) [5], при которой релевантный контекст извлекается и подаётся модели. Однако базовое допущение об эффективности отдельного слоя поиска, как правило, декларируется, а не проверяется: остаётся открытым вопрос, превосходит ли курируемый индексированный слой знаний тривиальную альтернативу — прямой полнотекстовый поиск агента по файлам. Слой поиска, не превосходящий такой базлайн, есть сложность с отрицательной ценностью: он добавляет нагрузку сопровождения и вторую, дрейфующую копию истины.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  <w:b/>
        </w:rPr>
        <w:t xml:space="preserve">Цель и задачи. </w:t>
      </w:r>
      <w:r>
        <w:rPr>
          <w:rFonts w:ascii="Times New Roman" w:hAnsi="Times New Roman" w:cs="Times New Roman" w:eastAsia="Times New Roman"/>
        </w:rPr>
        <w:t>Цель — количественно установить, оправдывает ли предложенный гибридный поисковый движок своё применение, и описать архитектуру, делающую его сопровождаемым. Задачи: (1) формализовать слоевую архитектуру и метод поиска; (2) построить измерительную установку с метриками информационного поиска и базлайнами; (3) провести оценку на реальном корпусе; (4) уточнить метод на основе наблюдаемых данных.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  <w:b/>
        </w:rPr>
        <w:t xml:space="preserve">Вклад работы. </w:t>
      </w:r>
      <w:r>
        <w:rPr>
          <w:rFonts w:ascii="Times New Roman" w:hAnsi="Times New Roman" w:cs="Times New Roman" w:eastAsia="Times New Roman"/>
        </w:rPr>
        <w:t>(i) слоевая самовалидируемая архитектура базы знаний с явным разделением «источник — производное» и провенансом по контент-хешам (§2.2, §2.5); (ii) гибридный ретривер с адаптивным порогом на запрос (2) как замена константному порогу косинуса (§2.4); (iii) общая для машины модель эмбеддингов, разрешаемая через метку и устраняющая дублирование по базам (§2.6); (iv) измерительная установка, переиспользующая ядро движка, и продиктованный измерениями цикл уточнения (§3–§4).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  <w:b/>
        </w:rPr>
        <w:t xml:space="preserve">Обзор подходов. </w:t>
      </w:r>
      <w:r>
        <w:rPr>
          <w:rFonts w:ascii="Times New Roman" w:hAnsi="Times New Roman" w:cs="Times New Roman" w:eastAsia="Times New Roman"/>
        </w:rPr>
        <w:t>Плотный поиск отображает запрос и фрагменты в общее векторное пространство и ранжирует по косинусной близости [4]; RAG соединяет такой поиск с генератором [5, 2]. Модель эмбеддинга — мультиязычная Jina v3 с LoRA-адаптерами и асимметричными префиксами query:/passage: [8], запускаемая локально через ONNX Runtime в Transformers.js [10]. Инвертированные индексы (IVF) разбивают векторы на кластеры и сканируют ближайшие [3]. Структурные сплиттеры режут документ по структуре и улучшают связность фрагментов [1]. Совмещение лексического и плотного поиска — устоявшаяся практика [2].</w:t>
      </w: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Материалы и методы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2.1 Обзор системы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Система состоит из двух пайплайнов над общим хранилищем: офлайн-пайплайна индексации, превращающего знание в векторы, и онлайн-пайплайна запроса, извлекающего заземляющий контекст для агента. Хранилище организовано в независимые слои (§2.2); каждый слой разделяет иммутабельные снимки источников (raw/) и производные курируемые страницы (wiki/), и оба типа индексируются. Пайплайны приведены на рисунке 1.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40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1 — Пайплайны индексации (сверху) и запроса (снизу)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2.2 Слоевая модель знаний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Знание разбито на независимые слои, образующие строго нисходящий граф зависимостей (ориентированный ацикличный граф): более специфичный слой может зависеть от более общих и ссылаться на них, но не наоборот. Это изолирует универсальные правила агента от ограничений движка, конвенций фреймворка и проектной специфики и позволяет нескольким проектным слоям параллельно переиспользовать общую базу. Каждый слой объявляет зависимости в манифесте wiki.json. Если одна тема есть в двух слоях, по умолчанию побеждает более специфичный, а агент сигнализирует о дубле. Граф зависимостей и внутреннее разделение слоя показаны на рисунке 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65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5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2 — Слоевой граф зависимостей (слева) и разделение «источник — производное» внутри слоя (справа)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2.3 Гибридный поиск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Символьный поток (A) сопоставляет строгие код-идентификаторы (PascalCase из не менее двух частей, интерфейсы I*, поля m_*) с полями документа; совпадения взвешиваются по типу поля и понижаются обратной частотой документа по принципу IDF [6]. Семантический поток (B) эмбеддит запрос с префиксом query: и ранжирует фрагменты по косинусной близости (1) [6]:</w:t>
      </w:r>
    </w:p>
    <w:p>
      <w:pPr>
        <w:spacing w:before="80" w:after="80"/>
        <w:jc w:val="center"/>
      </w:pPr>
      <w:r>
        <w:rPr>
          <w:rFonts w:ascii="Times New Roman" w:hAnsi="Times New Roman" w:cs="Times New Roman" w:eastAsia="Times New Roman"/>
          <w:i/>
        </w:rPr>
        <w:t>sim(q, d) = (q · d) / (‖q‖ · ‖d‖)      (1)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Потоки объединяются по единому эффективному score, а не жёстким приоритетом одного над другим (обоснование — в §4.1). Точные символьные совпадения (score ≈ 1.0) и плотные косинус-оценки (0–1) конкурируют на одной шкале, поэтому сильное семантическое совпадение может опередить тангенциальное совпадение идентификатора.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2.4 Маршрутизация и адаптивный порог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Векторы хранятся по одному шарду на слой; центроид шарда — среднее векторов его членов. При запросе шарды ранжируются по близости к центроиду, сканируются nprobe ближайших (multi-probe в духе IVF [3]); при nprobe не меньше числа шардов поиск исчерпывающий и не теряет полноту. Вместо фиксированного порога косинуса, чувствительного к сдвигу распределения близостей, применяется адаптивный порог на запрос (2):</w:t>
      </w:r>
    </w:p>
    <w:p>
      <w:pPr>
        <w:spacing w:before="80" w:after="80"/>
        <w:jc w:val="center"/>
      </w:pPr>
      <w:r>
        <w:rPr>
          <w:rFonts w:ascii="Times New Roman" w:hAnsi="Times New Roman" w:cs="Times New Roman" w:eastAsia="Times New Roman"/>
          <w:i/>
        </w:rPr>
        <w:t>τ_q = max( φ,  α · max_d sim(q, d) )      (2)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где α — доля от максимальной близости (по умолчанию 0.85), φ — нижний порог шума (по умолчанию 0.35). Конструкция (2) предложена как замена константному порогу: она подстраивается под лучший score самого запроса и потому устойчива к сдвигам распределения, вызванным языком (RU/EN) и длиной документа. Наконец, граф-лифт расширяет топ-результаты на один шаг по родителям extends и ссылкам [[wiki-links]], подтягивая связанные страницы.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2.5 Структурный чанкинг и провенанс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Индексатор токенизирует Markdown в заголовки, абзацы и атомарные блоки кода, пакует их до целевого размера в коридоре [min, max] слов, принудительно делит лишь переразмерные блоки, сливает мелкие фрагменты и приписывает путь заголовков; подход следует идее структурного разбиения [1]. Код считается источником истины, страницы wiki/ — производными; при близких оценках источник ранжируется выше, результаты помечаются как первичные (SOURCE) или производные (SUMMARY). Каждая производная страница хранит контент-хеши процитированных источников; проверка устаревания пересчитывает их, поэтому рассогласование изменившегося источника и его саммари становится обнаружимым, а не молчаливым.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2.6 Общая модель эмбеддингов и развёртывание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Модель эмбеддингов велика (~1.1 ГБ). Хранение копии в каждой развёрнутой базе умножило бы расход диска и сопровождение. Вместо этого модель ставится один раз на машину в системное место, а её путь публикуется через маленький файл-метку (JSON-конфиг); каждая база разрешает модель через эту метку. Порядок разрешения: явная переменная окружения, затем метка, затем локальный фолбэк репозитория, иначе развёртыватель спрашивает, куда поставить общую модель. Механизм показан на рисунке 3.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28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3 — Одна общая модель, разрешаемая каждой базой через метку; порядок разрешения — внизу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Развёртывание полной базы — одна команда (или эквивалентный скилл агента), выполняющая пять шагов: каркас слоёв и базовых страниц, установка общей модели и запись метки, установка правил агента, установка рабочих скилов и базовая валидация (юнит-тесты, линтер, сборка индекса). Путь записи замкнут end-to-end: ингест источника кладёт его в raw/, авто-создаёт производный стаб-саммари, линтит и завершается векторизацией, так что новое знание сразу доступно поиску.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2.7 Метрики оценки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Для множества релевантных документов R и ранжированного списка выдачи используются стандартные метрики [6, 7]. Полнота в первых k (3) — доля релевантных в top-k [6]:</w:t>
      </w:r>
    </w:p>
    <w:p>
      <w:pPr>
        <w:spacing w:before="80" w:after="80"/>
        <w:jc w:val="center"/>
      </w:pPr>
      <w:r>
        <w:rPr>
          <w:rFonts w:ascii="Times New Roman" w:hAnsi="Times New Roman" w:cs="Times New Roman" w:eastAsia="Times New Roman"/>
          <w:i/>
        </w:rPr>
        <w:t>recall@k = |R ∩ top-k| / |R|      (3)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Средний обратный ранг (4) усредняет обратный ранг первого релевантного документа по запросам Q [6]:</w:t>
      </w:r>
    </w:p>
    <w:p>
      <w:pPr>
        <w:spacing w:before="80" w:after="80"/>
        <w:jc w:val="center"/>
      </w:pPr>
      <w:r>
        <w:rPr>
          <w:rFonts w:ascii="Times New Roman" w:hAnsi="Times New Roman" w:cs="Times New Roman" w:eastAsia="Times New Roman"/>
          <w:i/>
        </w:rPr>
        <w:t>MRR = (1/|Q|) · Σ 1 / rank_i      (4)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Нормированный дисконтированный накопленный выигрыш (5)–(6) учитывает позицию релевантного результата [7]:</w:t>
      </w:r>
    </w:p>
    <w:p>
      <w:pPr>
        <w:spacing w:before="80" w:after="80"/>
        <w:jc w:val="center"/>
      </w:pPr>
      <w:r>
        <w:rPr>
          <w:rFonts w:ascii="Times New Roman" w:hAnsi="Times New Roman" w:cs="Times New Roman" w:eastAsia="Times New Roman"/>
          <w:i/>
        </w:rPr>
        <w:t>DCG@k = Σ rel_i / log₂(i+1);   nDCG@k = DCG@k / IDCG@k      (5)–(6)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2.8 Постановка эксперимента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Корпус оценки — развёрнутая база KBPro; её состав приведён в таблице 1. Набор запросов — 15 размеченных вопросов с указанием требуемых источников. Модель — jinaai/jina-embeddings-v3 (fp16, 1024 измерения). Параметр top-k = 5; порог адаптивный (α = 0.85, φ = 0.35). Сравниваются ретриверы: semantic (только плотный multi-probe), hybrid (символы и семантика с единым ранжированием), flat (исчерпывающий плоский косинус), lexical (лексическое пересечение терминов по файлам — модель «агент читает файлы напрямую»). Установка использует те же функции ядра, что и движок, и потому оценивает реальный движок, а не его копию. Эмбеддинг выполняется на GPU через DirectML с откатом на CPU [9].</w:t>
      </w: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1 — Состав корпуса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Охват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слоёв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документов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фрагментов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шардов</w:t>
            </w:r>
          </w:p>
        </w:tc>
      </w:tr>
      <w:tr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подмножество оценки (kbpro-wiki, llm-wiki)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162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433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полное развёртывание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343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6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При 2 шардах multi-probe эквивалентен исчерпывающему поиску; кластеризация важна лишь на множестве слоёв.</w:t>
      </w:r>
    </w:p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Результаты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Основные результаты приведены в таблице 2 и на рисунке 4. На реальном корпусе слой поиска примерно удваивает полноту (0.633 против 0.333) и улучшает ранжирование первого релевантного на 65% по MRR (0.718 против 0.435) относительно лексического базлайна.</w:t>
      </w: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2 — Основные результаты поиска (162 документа, 15 запросов, top-k =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Ретривер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recall@5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MRR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nDCG@5</w:t>
            </w:r>
          </w:p>
        </w:tc>
      </w:tr>
      <w:tr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semantic (предложенный движок)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0.633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0.718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0.626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hybrid (символы + семантика)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0.633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0.718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0.626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flat (исчерпывающий косинус)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0.633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0.718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0.626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lexical (лексический базлайн)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0.333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0.435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0.303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Равенство semantic = hybrid = flat обусловлено наличием лишь двух шардов, при котором multi-probe эквивалентен исчерпывающему поиску.</w:t>
      </w:r>
    </w:p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18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4 — Плотный поиск против лексического базлайна по трём метрикам</w:t>
      </w: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Обсуждение результатов и уточнение метода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4.1 Ранжирование гибридного поиска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Первый прогон выявил дефект: при исходном слиянии все символьные совпадения помещались выше семантических, вследствие чего тангенциальные точные совпадения вытесняли лучшие семантические результаты, и гибрид ранжировал хуже чистой семантики (MRR 0.641 против 0.718). Два уточнения, измеренные на одном индексе, устранили разрыв (таблица 3, рисунок 5): переход к единому ранжированию по score и ужесточение извлечения символов с исключением дженерик-аббревиатур. Диагноз локализован до одного запроса, в котором аббревиатура JSON трактовалась как код-идентификатор.</w:t>
      </w: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3 — Уточнение ранжирования (метрики гибридного ретривера)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Конфигурация</w:t>
            </w:r>
          </w:p>
        </w:tc>
        <w:tc>
          <w:tcPr>
            <w:tcW w:type="dxa" w:w="302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MRR</w:t>
            </w:r>
          </w:p>
        </w:tc>
        <w:tc>
          <w:tcPr>
            <w:tcW w:type="dxa" w:w="302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nDCG@5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исходная (жёсткий приоритет символов)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0.641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0.577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+ единое ранжирование по score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0.685</w:t>
            </w:r>
          </w:p>
        </w:tc>
        <w:tc>
          <w:tcPr>
            <w:tcW w:type="dxa" w:w="302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0.610</w:t>
            </w:r>
          </w:p>
        </w:tc>
      </w:tr>
      <w:tr>
        <w:tc>
          <w:tcPr>
            <w:tcW w:type="dxa" w:w="3024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+ строгое извлечение символов</w:t>
            </w:r>
          </w:p>
        </w:tc>
        <w:tc>
          <w:tcPr>
            <w:tcW w:type="dxa" w:w="302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0.718</w:t>
            </w:r>
          </w:p>
        </w:tc>
        <w:tc>
          <w:tcPr>
            <w:tcW w:type="dxa" w:w="302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0.626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Суммарный прирост — 12% MRR без изменения полноты.</w:t>
      </w:r>
    </w:p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178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ef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5 — Продиктованный измерениями прогресс MRR гибрида (0.641 → 0.685 → 0.718)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4.2 Сравнение стратегий чанкинга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При прочих равных индекс пересобран под каждую стратегию. Структурный чанкинг превзошёл оконный по ранжированию при равной полноте (таблица 4, рисунок 6), что подтверждает на данном корпусе общее качественное наблюдение о пользе структурного разбиения [1].</w:t>
      </w: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4 — Структурный чанкинг против фиксированного окна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Чанкинг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recall@5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MRR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nDCG@5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фрагментов</w:t>
            </w:r>
          </w:p>
        </w:tc>
      </w:tr>
      <w:tr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структурный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0.633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0.718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0.626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433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фиксированное окно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0.633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0.666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0.585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418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Прирост структурного чанкинга — 7.8% MRR и 7% nDCG.</w:t>
      </w:r>
    </w:p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183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hu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6 — Структурный против оконного чанкинга при равной полноте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4.3 Скорость индексации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Корректность ускорений проверялась до измерения времени. Батч-эмбеддинг доказанно эквивалентен одиночному (минимальный косинус 0.99999997), но на CPU даёт лишь около 11% выигрыша, поскольку прямой проход модели насыщает вычисления. Перенос на GPU через DirectML [9] даёт восьмикратное ускорение при сохранении численной эквивалентности (таблица 5, рисунок 7), снижая время полной индексации с порядка получаса до нескольких минут.</w:t>
      </w: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5 — Скорость эмбеддинга и эквивалентность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Конфигурация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время (12 эмб.)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ускорение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косинус к CPU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центральный процессор (база)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9657 мс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1.0×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+ батчинг (на 45 фрагментах)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≈ 11% быстрее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≈ 1.1×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≥ 0.99999997</w:t>
            </w:r>
          </w:p>
        </w:tc>
      </w:tr>
      <w:tr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графический процессор (DirectML)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1205 мс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8.0×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0.999984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Доминирующий рычаг скорости — GPU; батчинг — небольшой бесплатный выигрыш.</w:t>
      </w:r>
    </w:p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6602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p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6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Рисунок 7 — Относительная пропускная способность эмбеддинга; GPU — доминирующий рычаг (численно эквивалентно)</w:t>
      </w:r>
    </w:p>
    <w:p>
      <w:pPr>
        <w:keepNext/>
        <w:spacing w:before="20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4.4 Стресс-тест и оживление символьного потока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Помимо 15-запросного регрессионного набора, движок прогнан под нагрузкой на трёх бóльших режимах запросов, построенных на полном развёртывании из 345 документов, каждый проверяет свой режим поиска (Таблица 6): (R1) тема -&gt; документ, где запрос — тематический ярлык документа (лексически лёгкий); (R2) кросс-язычные и перефразированные вопросы без общих поверхностных токенов с целевым документом, где лексический базлайн не может выиграть по построению; (R3) точные уникальные код-идентификаторы (частота документа один), лучший случай для лексического поиска.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Итог резко расходится по режимам. На смысловых запросах (R2) плотный поиск примерно утроил лексический базлайн (recall@5 0.684 против 0.237); на точных идентификаторах (R3) лексический базлайн доминировал (0.990 против 0.286). R3 также вскрыл дефект: гибрид в точности совпал с семантическим ретривером, то есть символьный поток не вносил ничего. Причина: индексатор заполнял symbols документа только из YAML-frontmatter, оставляя raw- и код-документы с пустыми наборами символов, так что Stream A нечего было сопоставлять. Исправление — автоматическое извлечение код-идентификаторов (PascalCase, интерфейсы I*, поля m_*) из содержимого документа в индекс — подняло долю документов с проиндексированными символами с 76 до 292 из 346 и на R3 удвоило recall@5 гибрида и повысило MRR примерно на 150% без регресса на R1 и R2 (Таблица 7). Потоки комплементарны: плотный поиск владеет смыслом, оживший символьный поток возвращает поиск по точному идентификатору, а дословный скан файлов остаётся сильнейшим для буквальных токенов. Это ещё один пример продиктованного измерениями цикла: стресс-тест выявил молчаливый отказ, который агрегатная точность на исходном наборе скрывала.</w:t>
      </w: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6 - Стресс-тест трёх режимов, recall@5 (полный корпус 345 документов)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Режим запросов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n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hybrid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semantic</w:t>
            </w:r>
          </w:p>
        </w:tc>
        <w:tc>
          <w:tcPr>
            <w:tcW w:type="dxa" w:w="1814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lexical</w:t>
            </w:r>
          </w:p>
        </w:tc>
      </w:tr>
      <w:tr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R2 - кросс-язык / парафраз (смысл)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38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0.684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0.684</w:t>
            </w:r>
          </w:p>
        </w:tc>
        <w:tc>
          <w:tcPr>
            <w:tcW w:type="dxa" w:w="1814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0.237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R1 - тема -&gt; документ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100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0.929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0.929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0.838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R3 - точный уникальный идентификатор (после фикса)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98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0.576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0.283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0.990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Методы комплементарны: движок выигрывает на смысле (R2), дословный скан — на точных токенах (R3).</w:t>
      </w:r>
    </w:p>
    <w:p>
      <w:pPr>
        <w:spacing w:after="40"/>
      </w:pPr>
    </w:p>
    <w:p>
      <w:pPr>
        <w:spacing w:before="120" w:after="40"/>
        <w:jc w:val="left"/>
      </w:pPr>
      <w:r>
        <w:rPr>
          <w:rFonts w:ascii="Times New Roman" w:hAnsi="Times New Roman" w:cs="Times New Roman" w:eastAsia="Times New Roman"/>
          <w:b/>
          <w:color w:val="5B6573"/>
          <w:sz w:val="21"/>
        </w:rPr>
        <w:t>Таблица 7 - Оживление символьного потока (режим R3, точные идентификаторы)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 символов индекса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док. с символами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hybrid recall@5</w:t>
            </w:r>
          </w:p>
        </w:tc>
        <w:tc>
          <w:tcPr>
            <w:tcW w:type="dxa" w:w="2268"/>
            <w:shd w:val="clear" w:fill="EDEFF2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hybrid MRR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только frontmatter (до)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76 / 346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0.286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0.227</w:t>
            </w:r>
          </w:p>
        </w:tc>
      </w:tr>
      <w:tr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+ авто-извлечение из контента (после)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292 / 346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0.576</w:t>
            </w:r>
          </w:p>
        </w:tc>
        <w:tc>
          <w:tcPr>
            <w:tcW w:type="dxa" w:w="2268"/>
            <w:shd w:val="clear" w:fill="EEFAF4"/>
          </w:tcPr>
          <w:p>
            <w:pPr>
              <w:spacing w:line="240" w:lineRule="auto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sz w:val="21"/>
              </w:rPr>
              <w:t>0.567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cs="Times New Roman" w:eastAsia="Times New Roman"/>
          <w:color w:val="5B6573"/>
          <w:sz w:val="21"/>
        </w:rPr>
        <w:t>Авто-извлечение код-идентификаторов удваивает recall@5 на точных идентификаторах (+101%) и MRR (+150%); semantic и lexical не меняются.</w:t>
      </w:r>
    </w:p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5. Обсуждение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Полученные данные показывают, что плотный слой поиска не декоративен: он существенно превосходит лексический базлайн по полноте и ранжированию. На естественно-языковых вопросах рабочим инструментом выступает семантический поиск; символьный поток на данном наборе нейтрален, но предназначен повышать точность на запросах-идентификаторах, не представленных в наборе. Каждое улучшение метода (§4) продиктовано измерением, а не априорным предположением, что иллюстрирует встраивание измерительной установки в инженерный цикл. При двух шардах механизм кластеризации не влияет на результат и начинает играть роль лишь на множестве слоёв. Архитектурные решения (§2) нацелены на сопровождаемость: разделение «источник — производное» с провенансом держит дрейф обнаружимым, а метка общей модели устраняет дублирование по базам, не меняя поведения поиска.</w:t>
      </w: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6. Ограничения и угрозы валидности</w:t>
      </w:r>
    </w:p>
    <w:p>
      <w:pPr>
        <w:spacing w:before="0" w:after="40"/>
        <w:jc w:val="both"/>
      </w:pPr>
      <w:r>
        <w:rPr>
          <w:rFonts w:ascii="Times New Roman" w:hAnsi="Times New Roman" w:cs="Times New Roman" w:eastAsia="Times New Roman"/>
        </w:rPr>
        <w:t>Установлены следующие ограничения: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малый набор запросов (n = 15) приводит к широким доверительным интервалам; числа указывают направление, а не точную величину;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результаты получены на одном корпусе; обобщение на другие домены не проверено;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метки релевантности являются прокси (требуемые источники регрессионного набора), что может смещать оценку полноты;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в оценке индексированы 2 из 6 слоёв, меньшее число документов-дистракторов облегчает поиск относительно полного развёртывания;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recall@5 = 0.633 означает потерю около 37% релевантного в top-5; повышение полноты требует увеличения k, расширения запроса либо изменения представления, а не переранжирования;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высокая скорость индексации достигается при наличии GPU и соответствующей сборки среды, иначе действует откат на CPU;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</w:rPr>
        <w:t>провенанс делает рассогласование обнаружимым, но не устраняет двойственность источника истины между кодом и производными страницами.</w:t>
      </w: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7. Заключение</w:t>
      </w:r>
    </w:p>
    <w:p>
      <w:pPr>
        <w:spacing w:before="0" w:after="0"/>
        <w:ind w:firstLine="397"/>
        <w:jc w:val="both"/>
      </w:pPr>
      <w:r>
        <w:rPr>
          <w:rFonts w:ascii="Times New Roman" w:hAnsi="Times New Roman" w:cs="Times New Roman" w:eastAsia="Times New Roman"/>
        </w:rPr>
        <w:t>В работе подробно описана слоевая самовалидируемая архитектура базы знаний, а часто декларируемое допущение об эффективности отдельного слоя поиска переведено в измеренный факт: на реальной развёрнутой базе слоевой гибридный поисковый движок существенно превосходит лексический базлайн (recall@5 0.633 против 0.333, MRR 0.718 против 0.435). Продемонстрирован продиктованный измерениями цикл уточнения: две корректировки ранжирования (+12% MRR) и выбор стратегии чанкинга (+7.8% MRR) приняты после подтверждения данными, а оптимизации скорости (восьмикратное ускорение на GPU, батчинг) внедрены после доказанной численной эквивалентности. Стресс-тест на трёх режимах расширил оценку и вскрыл молчаливый отказ — символьный поток, оставшийся пустым из-за символов только из frontmatter, — исправление которого (авто-извлечение код-идентификаторов из содержимого) удвоило поиск по точному идентификатору (recall@5 гибрида 0.286 -&gt; 0.576, MRR 0.227 -&gt; 0.567) без регресса других режимов. Архитектура вносит разделение «источник — производное» с провенансом по контент-хешам и общую для машины, разрешаемую через метку модель эмбеддингов, устраняющую дублирование по базам. Ограничения задокументированы и отображены в конкретные направления дальнейших экспериментов. Все результаты воспроизводимы прилагаемой установкой.</w:t>
      </w:r>
    </w:p>
    <w:p>
      <w:pPr>
        <w:keepNext/>
        <w:spacing w:before="240" w:after="80"/>
        <w:jc w:val="left"/>
      </w:pPr>
      <w:r>
        <w:rPr>
          <w:rFonts w:ascii="Times New Roman" w:hAnsi="Times New Roman" w:cs="Times New Roman" w:eastAsia="Times New Roman"/>
          <w:b/>
          <w:sz w:val="24"/>
        </w:rPr>
        <w:t>Список литературы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1. </w:t>
      </w:r>
      <w:r>
        <w:rPr>
          <w:rFonts w:ascii="Times New Roman" w:hAnsi="Times New Roman" w:cs="Times New Roman" w:eastAsia="Times New Roman"/>
          <w:sz w:val="22"/>
        </w:rPr>
        <w:t>Chase H. et al. LangChain: RecursiveCharacterTextSplitter — structure-aware text splitting. Documentation, 2023. URL: python.langchain.com.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2. </w:t>
      </w:r>
      <w:r>
        <w:rPr>
          <w:rFonts w:ascii="Times New Roman" w:hAnsi="Times New Roman" w:cs="Times New Roman" w:eastAsia="Times New Roman"/>
          <w:sz w:val="22"/>
        </w:rPr>
        <w:t>Gao Y. et al. Retrieval-Augmented Generation for Large Language Models: A Survey. arXiv:2312.10997, 2023.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3. </w:t>
      </w:r>
      <w:r>
        <w:rPr>
          <w:rFonts w:ascii="Times New Roman" w:hAnsi="Times New Roman" w:cs="Times New Roman" w:eastAsia="Times New Roman"/>
          <w:sz w:val="22"/>
        </w:rPr>
        <w:t>Johnson J., Douze M., Jégou H. Billion-scale similarity search with GPUs (FAISS) // IEEE Transactions on Big Data. 2019. arXiv:1702.08734.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4. </w:t>
      </w:r>
      <w:r>
        <w:rPr>
          <w:rFonts w:ascii="Times New Roman" w:hAnsi="Times New Roman" w:cs="Times New Roman" w:eastAsia="Times New Roman"/>
          <w:sz w:val="22"/>
        </w:rPr>
        <w:t>Karpukhin V. et al. Dense Passage Retrieval for Open-Domain Question Answering // EMNLP. 2020. arXiv:2004.04906.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5. </w:t>
      </w:r>
      <w:r>
        <w:rPr>
          <w:rFonts w:ascii="Times New Roman" w:hAnsi="Times New Roman" w:cs="Times New Roman" w:eastAsia="Times New Roman"/>
          <w:sz w:val="22"/>
        </w:rPr>
        <w:t>Lewis P. et al. Retrieval-Augmented Generation for Knowledge-Intensive NLP Tasks // NeurIPS. 2020. arXiv:2005.11401.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6. </w:t>
      </w:r>
      <w:r>
        <w:rPr>
          <w:rFonts w:ascii="Times New Roman" w:hAnsi="Times New Roman" w:cs="Times New Roman" w:eastAsia="Times New Roman"/>
          <w:sz w:val="22"/>
        </w:rPr>
        <w:t>Manning C. D., Raghavan P., Schütze H. Introduction to Information Retrieval. Cambridge University Press, 2008. 482 p.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7. </w:t>
      </w:r>
      <w:r>
        <w:rPr>
          <w:rFonts w:ascii="Times New Roman" w:hAnsi="Times New Roman" w:cs="Times New Roman" w:eastAsia="Times New Roman"/>
          <w:sz w:val="22"/>
        </w:rPr>
        <w:t>Järvelin K., Kekäläinen J. Cumulated Gain-based Evaluation of IR Techniques // ACM TOIS. 2002. Vol. 20, № 4. P. 422–446.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8. </w:t>
      </w:r>
      <w:r>
        <w:rPr>
          <w:rFonts w:ascii="Times New Roman" w:hAnsi="Times New Roman" w:cs="Times New Roman" w:eastAsia="Times New Roman"/>
          <w:sz w:val="22"/>
        </w:rPr>
        <w:t>Sturua S. et al. jina-embeddings-v3: Multilingual Embeddings with Task LoRA. arXiv:2409.10173, 2024.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9. </w:t>
      </w:r>
      <w:r>
        <w:rPr>
          <w:rFonts w:ascii="Times New Roman" w:hAnsi="Times New Roman" w:cs="Times New Roman" w:eastAsia="Times New Roman"/>
          <w:sz w:val="22"/>
        </w:rPr>
        <w:t>Microsoft. ONNX Runtime Execution Providers: DirectML. Documentation, 2023. URL: onnxruntime.ai/docs/execution-providers.</w:t>
      </w:r>
    </w:p>
    <w:p>
      <w:pPr>
        <w:ind w:left="397" w:hanging="397"/>
        <w:jc w:val="both"/>
      </w:pPr>
      <w:r>
        <w:rPr>
          <w:rFonts w:ascii="Times New Roman" w:hAnsi="Times New Roman" w:cs="Times New Roman" w:eastAsia="Times New Roman"/>
          <w:b/>
          <w:sz w:val="22"/>
        </w:rPr>
        <w:t xml:space="preserve">10. </w:t>
      </w:r>
      <w:r>
        <w:rPr>
          <w:rFonts w:ascii="Times New Roman" w:hAnsi="Times New Roman" w:cs="Times New Roman" w:eastAsia="Times New Roman"/>
          <w:sz w:val="22"/>
        </w:rPr>
        <w:t>Hugging Face. Transformers.js — ONNX-runtime inference in JavaScript. 2023. URL: github.com/huggingface/transformers.js.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