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left"/>
      </w:pPr>
      <w:r>
        <w:rPr>
          <w:rFonts w:ascii="Times New Roman" w:hAnsi="Times New Roman" w:cs="Times New Roman" w:eastAsia="Times New Roman"/>
          <w:color w:val="5B6573"/>
          <w:sz w:val="21"/>
        </w:rPr>
        <w:t>УДК 004.8 (искусственный интеллект); 004 (информатика)</w:t>
      </w:r>
    </w:p>
    <w:p>
      <w:pPr>
        <w:spacing w:before="0" w:after="12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Слоевая самовалидируемая база знаний с гибридным поиском для заземления LLM-агентов: архитектура, метод и эмпирическая оценка на реальном корпусе</w:t>
      </w:r>
    </w:p>
    <w:p>
      <w:pPr>
        <w:spacing w:before="0" w:after="40"/>
        <w:jc w:val="center"/>
      </w:pPr>
      <w:r>
        <w:rPr>
          <w:rFonts w:ascii="Times New Roman" w:hAnsi="Times New Roman" w:cs="Times New Roman" w:eastAsia="Times New Roman"/>
          <w:b/>
        </w:rPr>
        <w:t>Давлетбаев Александр Сергеевич</w:t>
      </w:r>
    </w:p>
    <w:p>
      <w:pPr>
        <w:spacing w:before="0" w:after="40"/>
        <w:jc w:val="center"/>
      </w:pPr>
      <w:r>
        <w:rPr>
          <w:rFonts w:ascii="Times New Roman" w:hAnsi="Times New Roman" w:cs="Times New Roman" w:eastAsia="Times New Roman"/>
          <w:i/>
        </w:rPr>
        <w:t>Ведущий инженер-программист, ООО «КБ Продакшн»</w:t>
      </w:r>
    </w:p>
    <w:p>
      <w:pPr>
        <w:spacing w:before="0" w:after="200"/>
        <w:jc w:val="center"/>
      </w:pPr>
      <w:r>
        <w:rPr>
          <w:rFonts w:ascii="Times New Roman" w:hAnsi="Times New Roman" w:cs="Times New Roman" w:eastAsia="Times New Roman"/>
          <w:i/>
          <w:color w:val="5B6573"/>
          <w:sz w:val="21"/>
        </w:rPr>
        <w:t>Разработка системы и численные эксперименты выполнены с применением ИИ-инструментов (LLM-ассистентов). Фреймворк DavASko LLM Wiki, v3.x — полностью офлайн, воспроизводимо.</w:t>
      </w:r>
    </w:p>
    <w:p>
      <w:pPr>
        <w:keepNext/>
        <w:spacing w:before="80" w:after="80"/>
        <w:jc w:val="left"/>
      </w:pPr>
      <w:r>
        <w:rPr>
          <w:rFonts w:ascii="Times New Roman" w:hAnsi="Times New Roman" w:cs="Times New Roman" w:eastAsia="Times New Roman"/>
          <w:b/>
          <w:sz w:val="24"/>
        </w:rPr>
        <w:t>Аннотация</w:t>
      </w:r>
    </w:p>
    <w:p>
      <w:pPr>
        <w:spacing w:before="0" w:after="0"/>
        <w:ind w:firstLine="397"/>
        <w:jc w:val="both"/>
      </w:pPr>
      <w:r>
        <w:rPr>
          <w:rFonts w:ascii="Times New Roman" w:hAnsi="Times New Roman" w:cs="Times New Roman" w:eastAsia="Times New Roman"/>
        </w:rPr>
        <w:t>Эмпирически проверяется, превосходит ли курируемый гибридный (символьный и семантический) слой поиска по базе знаний тривиальный лексический поиск по файлам при заземлении LLM-агентов. Подробно описана архитектура системы: слоевая модель со строго нисходящими зависимостями, отделяющая иммутабельные снимки источников от производных курируемых страниц с провенансом по контент-хешам; гибридный ретривер с адаптивным порогом на запрос; и дедуплицированная, общая для машины модель эмбеддингов, разрешаемая через системную метку. На развёрнутой базе из 162 документов с 15 размеченными запросами вычислены recall@5, MRR и nDCG@5 для предложенного движка и базлайнов. Семантический поиск даёт recall@5 0.633 и MRR 0.718 против 0.333 и 0.435 у лексического базлайна; структурный чанкинг превосходит оконный на 7.8% MRR; эмбеддинг на графическом процессоре даёт восьмикратное ускорение. Слой поиска оправдан измерением.</w:t>
      </w:r>
    </w:p>
    <w:p>
      <w:pPr>
        <w:spacing w:before="0" w:after="0"/>
        <w:ind w:firstLine="397"/>
        <w:jc w:val="both"/>
      </w:pPr>
      <w:r>
        <w:rPr>
          <w:rFonts w:ascii="Times New Roman" w:hAnsi="Times New Roman" w:cs="Times New Roman" w:eastAsia="Times New Roman"/>
          <w:b/>
        </w:rPr>
        <w:t xml:space="preserve">Ключевые слова: </w:t>
      </w:r>
      <w:r>
        <w:rPr>
          <w:rFonts w:ascii="Times New Roman" w:hAnsi="Times New Roman" w:cs="Times New Roman" w:eastAsia="Times New Roman"/>
        </w:rPr>
        <w:t>информационный поиск; база знаний; дополненная поиском генерация; векторные эмбеддинги; слоевая архитектура; оценка качества ранжирования; LLM-агенты</w:t>
      </w: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/>
          <w:sz w:val="24"/>
        </w:rPr>
        <w:t>Abstract</w:t>
      </w:r>
    </w:p>
    <w:p>
      <w:pPr>
        <w:spacing w:before="0" w:after="0"/>
        <w:ind w:firstLine="397"/>
        <w:jc w:val="both"/>
      </w:pPr>
      <w:r>
        <w:rPr>
          <w:rFonts w:ascii="Times New Roman" w:hAnsi="Times New Roman" w:cs="Times New Roman" w:eastAsia="Times New Roman"/>
        </w:rPr>
        <w:t>It is verified empirically whether a curated hybrid (symbolic and semantic) retrieval layer over a knowledge base outperforms a trivial lexical file search when grounding LLM agents. The architecture is described in detail: a downward-dependent layer model separating immutable source snapshots from derived curated pages with content-hash provenance; a hybrid retriever with a per-query adaptive threshold; and a deduplicated, machine-shared embedding model resolved through a system marker. On a deployed 162-document base with 15 labeled queries, semantic retrieval yields recall@5 0.633 and MRR 0.718 against 0.333 and 0.435 for the lexical baseline; structure-aware chunking exceeds the fixed-window one by 7.8% MRR; GPU embedding gives an eight-fold speed-up. The retrieval layer is justified by measurement.</w:t>
      </w:r>
    </w:p>
    <w:p>
      <w:pPr>
        <w:spacing w:before="0" w:after="0"/>
        <w:ind w:firstLine="397"/>
        <w:jc w:val="both"/>
      </w:pPr>
      <w:r>
        <w:rPr>
          <w:rFonts w:ascii="Times New Roman" w:hAnsi="Times New Roman" w:cs="Times New Roman" w:eastAsia="Times New Roman"/>
          <w:b/>
        </w:rPr>
        <w:t xml:space="preserve">Keywords: </w:t>
      </w:r>
      <w:r>
        <w:rPr>
          <w:rFonts w:ascii="Times New Roman" w:hAnsi="Times New Roman" w:cs="Times New Roman" w:eastAsia="Times New Roman"/>
        </w:rPr>
        <w:t>information retrieval; knowledge base; retrieval-augmented generation; vector embeddings; layered architecture; ranking quality evaluation; LLM agents</w:t>
      </w:r>
    </w:p>
    <w:p>
      <w:pPr>
        <w:keepNext/>
        <w:spacing w:before="240" w:after="80"/>
        <w:jc w:val="left"/>
      </w:pPr>
      <w:r>
        <w:rPr>
          <w:rFonts w:ascii="Times New Roman" w:hAnsi="Times New Roman" w:cs="Times New Roman" w:eastAsia="Times New Roman"/>
          <w:b/>
          <w:sz w:val="24"/>
        </w:rPr>
        <w:t>1. Введение</w:t>
      </w:r>
    </w:p>
    <w:p>
      <w:pPr>
        <w:spacing w:before="0" w:after="0"/>
        <w:ind w:firstLine="397"/>
        <w:jc w:val="both"/>
      </w:pPr>
      <w:r>
        <w:rPr>
          <w:rFonts w:ascii="Times New Roman" w:hAnsi="Times New Roman" w:cs="Times New Roman" w:eastAsia="Times New Roman"/>
          <w:b/>
        </w:rPr>
        <w:t xml:space="preserve">Актуальность. </w:t>
      </w:r>
      <w:r>
        <w:rPr>
          <w:rFonts w:ascii="Times New Roman" w:hAnsi="Times New Roman" w:cs="Times New Roman" w:eastAsia="Times New Roman"/>
        </w:rPr>
        <w:t>Языковые модели-агенты в задачах разработки всё чаще оперируют большим и изменяющимся знанием проекта. Распространённый подход к заземлению — дополненная поиском генерация (RAG) [5], при которой релевантный контекст извлекается и подаётся модели. Однако базовое допущение об эффективности отдельного слоя поиска, как правило, декларируется, а не проверяется: остаётся открытым вопрос, превосходит ли курируемый индексированный слой знаний тривиальную альтернативу — прямой полнотекстовый поиск агента по файлам. Слой поиска, не превосходящий такой базлайн, есть сложность с отрицательной ценностью: он добавляет нагрузку сопровождения и вторую, дрейфующую копию истины.</w:t>
      </w:r>
    </w:p>
    <w:p>
      <w:pPr>
        <w:spacing w:before="0" w:after="0"/>
        <w:ind w:firstLine="397"/>
        <w:jc w:val="both"/>
      </w:pPr>
      <w:r>
        <w:rPr>
          <w:rFonts w:ascii="Times New Roman" w:hAnsi="Times New Roman" w:cs="Times New Roman" w:eastAsia="Times New Roman"/>
          <w:b/>
        </w:rPr>
        <w:t xml:space="preserve">Цель и задачи. </w:t>
      </w:r>
      <w:r>
        <w:rPr>
          <w:rFonts w:ascii="Times New Roman" w:hAnsi="Times New Roman" w:cs="Times New Roman" w:eastAsia="Times New Roman"/>
        </w:rPr>
        <w:t>Цель — количественно установить, оправдывает ли предложенный гибридный поисковый движок своё применение, и описать архитектуру, делающую его сопровождаемым. Задачи: (1) формализовать слоевую архитектуру и метод поиска; (2) построить измерительную установку с метриками информационного поиска и базлайнами; (3) провести оценку на реальном корпусе; (4) уточнить метод на основе наблюдаемых данных.</w:t>
      </w:r>
    </w:p>
    <w:p>
      <w:pPr>
        <w:spacing w:before="0" w:after="0"/>
        <w:ind w:firstLine="397"/>
        <w:jc w:val="both"/>
      </w:pPr>
      <w:r>
        <w:rPr>
          <w:rFonts w:ascii="Times New Roman" w:hAnsi="Times New Roman" w:cs="Times New Roman" w:eastAsia="Times New Roman"/>
          <w:b/>
        </w:rPr>
        <w:t xml:space="preserve">Вклад работы. </w:t>
      </w:r>
      <w:r>
        <w:rPr>
          <w:rFonts w:ascii="Times New Roman" w:hAnsi="Times New Roman" w:cs="Times New Roman" w:eastAsia="Times New Roman"/>
        </w:rPr>
        <w:t>(i) слоевая самовалидируемая архитектура базы знаний с явным разделением «источник — производное» и провенансом по контент-хешам (§2.2, §2.5); (ii) гибридный ретривер с адаптивным порогом на запрос (2) как замена константному порогу косинуса (§2.4); (iii) общая для машины модель эмбеддингов, разрешаемая через метку и устраняющая дублирование по базам (§2.6); (iv) измерительная установка, переиспользующая ядро движка, и продиктованный измерениями цикл уточнения (§3–§4).</w:t>
      </w:r>
    </w:p>
    <w:p>
      <w:pPr>
        <w:spacing w:before="0" w:after="0"/>
        <w:ind w:firstLine="397"/>
        <w:jc w:val="both"/>
      </w:pPr>
      <w:r>
        <w:rPr>
          <w:rFonts w:ascii="Times New Roman" w:hAnsi="Times New Roman" w:cs="Times New Roman" w:eastAsia="Times New Roman"/>
          <w:b/>
        </w:rPr>
        <w:t xml:space="preserve">Обзор подходов. </w:t>
      </w:r>
      <w:r>
        <w:rPr>
          <w:rFonts w:ascii="Times New Roman" w:hAnsi="Times New Roman" w:cs="Times New Roman" w:eastAsia="Times New Roman"/>
        </w:rPr>
        <w:t>Плотный поиск отображает запрос и фрагменты в общее векторное пространство и ранжирует по косинусной близости [4]; RAG соединяет такой поиск с генератором [5, 2]. Модель эмбеддинга — мультиязычная Jina v3 с LoRA-адаптерами и асимметричными префиксами query:/passage: [8], запускаемая локально через ONNX Runtime в Transformers.js [10]. Инвертированные индексы (IVF) разбивают векторы на кластеры и сканируют ближайшие [3]. Структурные сплиттеры режут документ по структуре и улучшают связность фрагментов [1]. Совмещение лексического и плотного поиска — устоявшаяся практика [2].</w:t>
      </w:r>
    </w:p>
    <w:p>
      <w:pPr>
        <w:keepNext/>
        <w:spacing w:before="240" w:after="80"/>
        <w:jc w:val="left"/>
      </w:pPr>
      <w:r>
        <w:rPr>
          <w:rFonts w:ascii="Times New Roman" w:hAnsi="Times New Roman" w:cs="Times New Roman" w:eastAsia="Times New Roman"/>
          <w:b/>
          <w:sz w:val="24"/>
        </w:rPr>
        <w:t>2. Материалы и методы</w:t>
      </w: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/>
          <w:sz w:val="24"/>
        </w:rPr>
        <w:t>2.1 Обзор системы</w:t>
      </w:r>
    </w:p>
    <w:p>
      <w:pPr>
        <w:spacing w:before="0" w:after="0"/>
        <w:ind w:firstLine="397"/>
        <w:jc w:val="both"/>
      </w:pPr>
      <w:r>
        <w:rPr>
          <w:rFonts w:ascii="Times New Roman" w:hAnsi="Times New Roman" w:cs="Times New Roman" w:eastAsia="Times New Roman"/>
        </w:rPr>
        <w:t>Система состоит из двух пайплайнов над общим хранилищем: офлайн-пайплайна индексации, превращающего знание в векторы, и онлайн-пайплайна запроса, извлекающего заземляющий контекст для агента. Хранилище организовано в независимые слои (§2.2); каждый слой разделяет иммутабельные снимки источников (raw/) и производные курируемые страницы (wiki/), и оба типа индексируются. Пайплайны приведены на рисунке 1.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408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40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cs="Times New Roman" w:eastAsia="Times New Roman"/>
          <w:color w:val="5B6573"/>
          <w:sz w:val="21"/>
        </w:rPr>
        <w:t>Рисунок 1 — Пайплайны индексации (сверху) и запроса (снизу)</w:t>
      </w: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/>
          <w:sz w:val="24"/>
        </w:rPr>
        <w:t>2.2 Слоевая модель знаний</w:t>
      </w:r>
    </w:p>
    <w:p>
      <w:pPr>
        <w:spacing w:before="0" w:after="0"/>
        <w:ind w:firstLine="397"/>
        <w:jc w:val="both"/>
      </w:pPr>
      <w:r>
        <w:rPr>
          <w:rFonts w:ascii="Times New Roman" w:hAnsi="Times New Roman" w:cs="Times New Roman" w:eastAsia="Times New Roman"/>
        </w:rPr>
        <w:t>Знание разбито на независимые слои, образующие строго нисходящий граф зависимостей (ориентированный ацикличный граф): более специфичный слой может зависеть от более общих и ссылаться на них, но не наоборот. Это изолирует универсальные правила агента от ограничений движка, конвенций фреймворка и проектной специфики и позволяет нескольким проектным слоям параллельно переиспользовать общую базу. Каждый слой объявляет зависимости в манифесте wiki.json. Если одна тема есть в двух слоях, по умолчанию побеждает более специфичный, а агент сигнализирует о дубле. Граф зависимостей и внутреннее разделение слоя показаны на рисунке 2.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655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laye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65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cs="Times New Roman" w:eastAsia="Times New Roman"/>
          <w:color w:val="5B6573"/>
          <w:sz w:val="21"/>
        </w:rPr>
        <w:t>Рисунок 2 — Слоевой граф зависимостей (слева) и разделение «источник — производное» внутри слоя (справа)</w:t>
      </w: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/>
          <w:sz w:val="24"/>
        </w:rPr>
        <w:t>2.3 Гибридный поиск</w:t>
      </w:r>
    </w:p>
    <w:p>
      <w:pPr>
        <w:spacing w:before="0" w:after="0"/>
        <w:ind w:firstLine="397"/>
        <w:jc w:val="both"/>
      </w:pPr>
      <w:r>
        <w:rPr>
          <w:rFonts w:ascii="Times New Roman" w:hAnsi="Times New Roman" w:cs="Times New Roman" w:eastAsia="Times New Roman"/>
        </w:rPr>
        <w:t>Символьный поток (A) сопоставляет строгие код-идентификаторы (PascalCase из не менее двух частей, интерфейсы I*, поля m_*) с полями документа; совпадения взвешиваются по типу поля и понижаются обратной частотой документа по принципу IDF [6]. Семантический поток (B) эмбеддит запрос с префиксом query: и ранжирует фрагменты по косинусной близости (1) [6]:</w:t>
      </w:r>
    </w:p>
    <w:p>
      <w:pPr>
        <w:spacing w:before="80" w:after="80"/>
        <w:jc w:val="center"/>
      </w:pPr>
      <w:r>
        <w:rPr>
          <w:rFonts w:ascii="Times New Roman" w:hAnsi="Times New Roman" w:cs="Times New Roman" w:eastAsia="Times New Roman"/>
          <w:i/>
        </w:rPr>
        <w:t>sim(q, d) = (q · d) / (‖q‖ · ‖d‖)      (1)</w:t>
      </w:r>
    </w:p>
    <w:p>
      <w:pPr>
        <w:spacing w:before="0" w:after="0"/>
        <w:ind w:firstLine="397"/>
        <w:jc w:val="both"/>
      </w:pPr>
      <w:r>
        <w:rPr>
          <w:rFonts w:ascii="Times New Roman" w:hAnsi="Times New Roman" w:cs="Times New Roman" w:eastAsia="Times New Roman"/>
        </w:rPr>
        <w:t>Потоки объединяются по единому эффективному score, а не жёстким приоритетом одного над другим (обоснование — в §4.1). Точные символьные совпадения (score ≈ 1.0) и плотные косинус-оценки (0–1) конкурируют на одной шкале, поэтому сильное семантическое совпадение может опередить тангенциальное совпадение идентификатора.</w:t>
      </w: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/>
          <w:sz w:val="24"/>
        </w:rPr>
        <w:t>2.4 Маршрутизация и адаптивный порог</w:t>
      </w:r>
    </w:p>
    <w:p>
      <w:pPr>
        <w:spacing w:before="0" w:after="0"/>
        <w:ind w:firstLine="397"/>
        <w:jc w:val="both"/>
      </w:pPr>
      <w:r>
        <w:rPr>
          <w:rFonts w:ascii="Times New Roman" w:hAnsi="Times New Roman" w:cs="Times New Roman" w:eastAsia="Times New Roman"/>
        </w:rPr>
        <w:t>Векторы хранятся по одному шарду на слой; центроид шарда — среднее векторов его членов. При запросе шарды ранжируются по близости к центроиду, сканируются nprobe ближайших (multi-probe в духе IVF [3]); при nprobe не меньше числа шардов поиск исчерпывающий и не теряет полноту. Вместо фиксированного порога косинуса, чувствительного к сдвигу распределения близостей, применяется адаптивный порог на запрос (2):</w:t>
      </w:r>
    </w:p>
    <w:p>
      <w:pPr>
        <w:spacing w:before="80" w:after="80"/>
        <w:jc w:val="center"/>
      </w:pPr>
      <w:r>
        <w:rPr>
          <w:rFonts w:ascii="Times New Roman" w:hAnsi="Times New Roman" w:cs="Times New Roman" w:eastAsia="Times New Roman"/>
          <w:i/>
        </w:rPr>
        <w:t>τ_q = max( φ,  α · max_d sim(q, d) )      (2)</w:t>
      </w:r>
    </w:p>
    <w:p>
      <w:pPr>
        <w:spacing w:before="0" w:after="0"/>
        <w:ind w:firstLine="397"/>
        <w:jc w:val="both"/>
      </w:pPr>
      <w:r>
        <w:rPr>
          <w:rFonts w:ascii="Times New Roman" w:hAnsi="Times New Roman" w:cs="Times New Roman" w:eastAsia="Times New Roman"/>
        </w:rPr>
        <w:t>где α — доля от максимальной близости (по умолчанию 0.85), φ — нижний порог шума (по умолчанию 0.35). Конструкция (2) предложена как замена константному порогу: она подстраивается под лучший score самого запроса и потому устойчива к сдвигам распределения, вызванным языком (RU/EN) и длиной документа. Наконец, граф-лифт расширяет топ-результаты на один шаг по родителям extends и ссылкам [[wiki-links]], подтягивая связанные страницы.</w:t>
      </w: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/>
          <w:sz w:val="24"/>
        </w:rPr>
        <w:t>2.5 Структурный чанкинг и провенанс</w:t>
      </w:r>
    </w:p>
    <w:p>
      <w:pPr>
        <w:spacing w:before="0" w:after="0"/>
        <w:ind w:firstLine="397"/>
        <w:jc w:val="both"/>
      </w:pPr>
      <w:r>
        <w:rPr>
          <w:rFonts w:ascii="Times New Roman" w:hAnsi="Times New Roman" w:cs="Times New Roman" w:eastAsia="Times New Roman"/>
        </w:rPr>
        <w:t>Индексатор токенизирует Markdown в заголовки, абзацы и атомарные блоки кода, пакует их до целевого размера в коридоре [min, max] слов, принудительно делит лишь переразмерные блоки, сливает мелкие фрагменты и приписывает путь заголовков; подход следует идее структурного разбиения [1]. Код считается источником истины, страницы wiki/ — производными; при близких оценках источник ранжируется выше, результаты помечаются как первичные (SOURCE) или производные (SUMMARY). Каждая производная страница хранит контент-хеши процитированных источников; проверка устаревания пересчитывает их, поэтому рассогласование изменившегося источника и его саммари становится обнаружимым, а не молчаливым.</w:t>
      </w: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/>
          <w:sz w:val="24"/>
        </w:rPr>
        <w:t>2.6 Общая модель эмбеддингов и развёртывание</w:t>
      </w:r>
    </w:p>
    <w:p>
      <w:pPr>
        <w:spacing w:before="0" w:after="0"/>
        <w:ind w:firstLine="397"/>
        <w:jc w:val="both"/>
      </w:pPr>
      <w:r>
        <w:rPr>
          <w:rFonts w:ascii="Times New Roman" w:hAnsi="Times New Roman" w:cs="Times New Roman" w:eastAsia="Times New Roman"/>
        </w:rPr>
        <w:t>Модель эмбеддингов велика (~1.1 ГБ). Хранение копии в каждой развёрнутой базе умножило бы расход диска и сопровождение. Вместо этого модель ставится один раз на машину в системное место, а её путь публикуется через маленький файл-метку (JSON-конфиг); каждая база разрешает модель через эту метку. Порядок разрешения: явная переменная окружения, затем метка, затем локальный фолбэк репозитория, иначе развёртыватель спрашивает, куда поставить общую модель. Механизм показан на рисунке 3.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192845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mode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284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cs="Times New Roman" w:eastAsia="Times New Roman"/>
          <w:color w:val="5B6573"/>
          <w:sz w:val="21"/>
        </w:rPr>
        <w:t>Рисунок 3 — Одна общая модель, разрешаемая каждой базой через метку; порядок разрешения — внизу</w:t>
      </w:r>
    </w:p>
    <w:p>
      <w:pPr>
        <w:spacing w:before="0" w:after="0"/>
        <w:ind w:firstLine="397"/>
        <w:jc w:val="both"/>
      </w:pPr>
      <w:r>
        <w:rPr>
          <w:rFonts w:ascii="Times New Roman" w:hAnsi="Times New Roman" w:cs="Times New Roman" w:eastAsia="Times New Roman"/>
        </w:rPr>
        <w:t>Развёртывание полной базы — одна команда (или эквивалентный скилл агента), выполняющая пять шагов: каркас слоёв и базовых страниц, установка общей модели и запись метки, установка правил агента, установка рабочих скилов и базовая валидация (юнит-тесты, линтер, сборка индекса). Путь записи замкнут end-to-end: ингест источника кладёт его в raw/, авто-создаёт производный стаб-саммари, линтит и завершается векторизацией, так что новое знание сразу доступно поиску.</w:t>
      </w: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/>
          <w:sz w:val="24"/>
        </w:rPr>
        <w:t>2.7 Метрики оценки</w:t>
      </w:r>
    </w:p>
    <w:p>
      <w:pPr>
        <w:spacing w:before="0" w:after="0"/>
        <w:ind w:firstLine="397"/>
        <w:jc w:val="both"/>
      </w:pPr>
      <w:r>
        <w:rPr>
          <w:rFonts w:ascii="Times New Roman" w:hAnsi="Times New Roman" w:cs="Times New Roman" w:eastAsia="Times New Roman"/>
        </w:rPr>
        <w:t>Для множества релевантных документов R и ранжированного списка выдачи используются стандартные метрики [6, 7]. Полнота в первых k (3) — доля релевантных в top-k [6]:</w:t>
      </w:r>
    </w:p>
    <w:p>
      <w:pPr>
        <w:spacing w:before="80" w:after="80"/>
        <w:jc w:val="center"/>
      </w:pPr>
      <w:r>
        <w:rPr>
          <w:rFonts w:ascii="Times New Roman" w:hAnsi="Times New Roman" w:cs="Times New Roman" w:eastAsia="Times New Roman"/>
          <w:i/>
        </w:rPr>
        <w:t>recall@k = |R ∩ top-k| / |R|      (3)</w:t>
      </w:r>
    </w:p>
    <w:p>
      <w:pPr>
        <w:spacing w:before="0" w:after="0"/>
        <w:ind w:firstLine="397"/>
        <w:jc w:val="both"/>
      </w:pPr>
      <w:r>
        <w:rPr>
          <w:rFonts w:ascii="Times New Roman" w:hAnsi="Times New Roman" w:cs="Times New Roman" w:eastAsia="Times New Roman"/>
        </w:rPr>
        <w:t>Средний обратный ранг (4) усредняет обратный ранг первого релевантного документа по запросам Q [6]:</w:t>
      </w:r>
    </w:p>
    <w:p>
      <w:pPr>
        <w:spacing w:before="80" w:after="80"/>
        <w:jc w:val="center"/>
      </w:pPr>
      <w:r>
        <w:rPr>
          <w:rFonts w:ascii="Times New Roman" w:hAnsi="Times New Roman" w:cs="Times New Roman" w:eastAsia="Times New Roman"/>
          <w:i/>
        </w:rPr>
        <w:t>MRR = (1/|Q|) · Σ 1 / rank_i      (4)</w:t>
      </w:r>
    </w:p>
    <w:p>
      <w:pPr>
        <w:spacing w:before="0" w:after="0"/>
        <w:ind w:firstLine="397"/>
        <w:jc w:val="both"/>
      </w:pPr>
      <w:r>
        <w:rPr>
          <w:rFonts w:ascii="Times New Roman" w:hAnsi="Times New Roman" w:cs="Times New Roman" w:eastAsia="Times New Roman"/>
        </w:rPr>
        <w:t>Нормированный дисконтированный накопленный выигрыш (5)–(6) учитывает позицию релевантного результата [7]:</w:t>
      </w:r>
    </w:p>
    <w:p>
      <w:pPr>
        <w:spacing w:before="80" w:after="80"/>
        <w:jc w:val="center"/>
      </w:pPr>
      <w:r>
        <w:rPr>
          <w:rFonts w:ascii="Times New Roman" w:hAnsi="Times New Roman" w:cs="Times New Roman" w:eastAsia="Times New Roman"/>
          <w:i/>
        </w:rPr>
        <w:t>DCG@k = Σ rel_i / log₂(i+1);   nDCG@k = DCG@k / IDCG@k      (5)–(6)</w:t>
      </w: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/>
          <w:sz w:val="24"/>
        </w:rPr>
        <w:t>2.8 Постановка эксперимента</w:t>
      </w:r>
    </w:p>
    <w:p>
      <w:pPr>
        <w:spacing w:before="0" w:after="0"/>
        <w:ind w:firstLine="397"/>
        <w:jc w:val="both"/>
      </w:pPr>
      <w:r>
        <w:rPr>
          <w:rFonts w:ascii="Times New Roman" w:hAnsi="Times New Roman" w:cs="Times New Roman" w:eastAsia="Times New Roman"/>
        </w:rPr>
        <w:t>Корпус оценки — развёрнутая база KBPro; её состав приведён в таблице 1. Набор запросов — 15 размеченных вопросов с указанием требуемых источников. Модель — jinaai/jina-embeddings-v3 (fp16, 1024 измерения). Параметр top-k = 5; порог адаптивный (α = 0.85, φ = 0.35). Сравниваются ретриверы: semantic (только плотный multi-probe), hybrid (символы и семантика с единым ранжированием), flat (исчерпывающий плоский косинус), lexical (лексическое пересечение терминов по файлам — модель «агент читает файлы напрямую»). Установка использует те же функции ядра, что и движок, и потому оценивает реальный движок, а не его копию. Эмбеддинг выполняется на GPU через DirectML с откатом на CPU [9].</w:t>
      </w:r>
    </w:p>
    <w:p>
      <w:pPr>
        <w:spacing w:before="120" w:after="40"/>
        <w:jc w:val="left"/>
      </w:pPr>
      <w:r>
        <w:rPr>
          <w:rFonts w:ascii="Times New Roman" w:hAnsi="Times New Roman" w:cs="Times New Roman" w:eastAsia="Times New Roman"/>
          <w:b/>
          <w:color w:val="5B6573"/>
          <w:sz w:val="21"/>
        </w:rPr>
        <w:t>Таблица 1 — Состав корпуса оценки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EDEFF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sz w:val="21"/>
              </w:rPr>
              <w:t>Охват</w:t>
            </w:r>
          </w:p>
        </w:tc>
        <w:tc>
          <w:tcPr>
            <w:tcW w:type="dxa" w:w="1814"/>
            <w:shd w:val="clear" w:fill="EDEFF2"/>
          </w:tcPr>
          <w:p>
            <w:pPr>
              <w:spacing w:line="240" w:lineRule="auto" w:after="0"/>
              <w:jc w:val="right"/>
            </w:pPr>
            <w:r/>
            <w:r>
              <w:rPr>
                <w:rFonts w:ascii="Times New Roman" w:hAnsi="Times New Roman" w:cs="Times New Roman" w:eastAsia="Times New Roman"/>
                <w:b/>
                <w:sz w:val="21"/>
              </w:rPr>
              <w:t>слоёв</w:t>
            </w:r>
          </w:p>
        </w:tc>
        <w:tc>
          <w:tcPr>
            <w:tcW w:type="dxa" w:w="1814"/>
            <w:shd w:val="clear" w:fill="EDEFF2"/>
          </w:tcPr>
          <w:p>
            <w:pPr>
              <w:spacing w:line="240" w:lineRule="auto" w:after="0"/>
              <w:jc w:val="right"/>
            </w:pPr>
            <w:r/>
            <w:r>
              <w:rPr>
                <w:rFonts w:ascii="Times New Roman" w:hAnsi="Times New Roman" w:cs="Times New Roman" w:eastAsia="Times New Roman"/>
                <w:b/>
                <w:sz w:val="21"/>
              </w:rPr>
              <w:t>документов</w:t>
            </w:r>
          </w:p>
        </w:tc>
        <w:tc>
          <w:tcPr>
            <w:tcW w:type="dxa" w:w="1814"/>
            <w:shd w:val="clear" w:fill="EDEFF2"/>
          </w:tcPr>
          <w:p>
            <w:pPr>
              <w:spacing w:line="240" w:lineRule="auto" w:after="0"/>
              <w:jc w:val="right"/>
            </w:pPr>
            <w:r/>
            <w:r>
              <w:rPr>
                <w:rFonts w:ascii="Times New Roman" w:hAnsi="Times New Roman" w:cs="Times New Roman" w:eastAsia="Times New Roman"/>
                <w:b/>
                <w:sz w:val="21"/>
              </w:rPr>
              <w:t>фрагментов</w:t>
            </w:r>
          </w:p>
        </w:tc>
        <w:tc>
          <w:tcPr>
            <w:tcW w:type="dxa" w:w="1814"/>
            <w:shd w:val="clear" w:fill="EDEFF2"/>
          </w:tcPr>
          <w:p>
            <w:pPr>
              <w:spacing w:line="240" w:lineRule="auto" w:after="0"/>
              <w:jc w:val="right"/>
            </w:pPr>
            <w:r/>
            <w:r>
              <w:rPr>
                <w:rFonts w:ascii="Times New Roman" w:hAnsi="Times New Roman" w:cs="Times New Roman" w:eastAsia="Times New Roman"/>
                <w:b/>
                <w:sz w:val="21"/>
              </w:rPr>
              <w:t>шардов</w:t>
            </w:r>
          </w:p>
        </w:tc>
      </w:tr>
      <w:tr>
        <w:tc>
          <w:tcPr>
            <w:tcW w:type="dxa" w:w="1814"/>
            <w:shd w:val="clear" w:fill="EEFAF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sz w:val="21"/>
              </w:rPr>
              <w:t>подмножество оценки (kbpro-wiki, llm-wiki)</w:t>
            </w:r>
          </w:p>
        </w:tc>
        <w:tc>
          <w:tcPr>
            <w:tcW w:type="dxa" w:w="1814"/>
            <w:shd w:val="clear" w:fill="EEFAF4"/>
          </w:tcPr>
          <w:p>
            <w:pPr>
              <w:spacing w:line="240" w:lineRule="auto" w:after="0"/>
              <w:jc w:val="right"/>
            </w:pPr>
            <w:r/>
            <w:r>
              <w:rPr>
                <w:rFonts w:ascii="Times New Roman" w:hAnsi="Times New Roman" w:cs="Times New Roman" w:eastAsia="Times New Roman"/>
                <w:sz w:val="21"/>
              </w:rPr>
              <w:t>2</w:t>
            </w:r>
          </w:p>
        </w:tc>
        <w:tc>
          <w:tcPr>
            <w:tcW w:type="dxa" w:w="1814"/>
            <w:shd w:val="clear" w:fill="EEFAF4"/>
          </w:tcPr>
          <w:p>
            <w:pPr>
              <w:spacing w:line="240" w:lineRule="auto" w:after="0"/>
              <w:jc w:val="right"/>
            </w:pPr>
            <w:r/>
            <w:r>
              <w:rPr>
                <w:rFonts w:ascii="Times New Roman" w:hAnsi="Times New Roman" w:cs="Times New Roman" w:eastAsia="Times New Roman"/>
                <w:sz w:val="21"/>
              </w:rPr>
              <w:t>162</w:t>
            </w:r>
          </w:p>
        </w:tc>
        <w:tc>
          <w:tcPr>
            <w:tcW w:type="dxa" w:w="1814"/>
            <w:shd w:val="clear" w:fill="EEFAF4"/>
          </w:tcPr>
          <w:p>
            <w:pPr>
              <w:spacing w:line="240" w:lineRule="auto" w:after="0"/>
              <w:jc w:val="right"/>
            </w:pPr>
            <w:r/>
            <w:r>
              <w:rPr>
                <w:rFonts w:ascii="Times New Roman" w:hAnsi="Times New Roman" w:cs="Times New Roman" w:eastAsia="Times New Roman"/>
                <w:sz w:val="21"/>
              </w:rPr>
              <w:t>433</w:t>
            </w:r>
          </w:p>
        </w:tc>
        <w:tc>
          <w:tcPr>
            <w:tcW w:type="dxa" w:w="1814"/>
            <w:shd w:val="clear" w:fill="EEFAF4"/>
          </w:tcPr>
          <w:p>
            <w:pPr>
              <w:spacing w:line="240" w:lineRule="auto" w:after="0"/>
              <w:jc w:val="right"/>
            </w:pPr>
            <w:r/>
            <w:r>
              <w:rPr>
                <w:rFonts w:ascii="Times New Roman" w:hAnsi="Times New Roman" w:cs="Times New Roman" w:eastAsia="Times New Roman"/>
                <w:sz w:val="21"/>
              </w:rPr>
              <w:t>2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sz w:val="21"/>
              </w:rPr>
              <w:t>полное развёртывание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right"/>
            </w:pPr>
            <w:r/>
            <w:r>
              <w:rPr>
                <w:rFonts w:ascii="Times New Roman" w:hAnsi="Times New Roman" w:cs="Times New Roman" w:eastAsia="Times New Roman"/>
                <w:sz w:val="21"/>
              </w:rPr>
              <w:t>6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right"/>
            </w:pPr>
            <w:r/>
            <w:r>
              <w:rPr>
                <w:rFonts w:ascii="Times New Roman" w:hAnsi="Times New Roman" w:cs="Times New Roman" w:eastAsia="Times New Roman"/>
                <w:sz w:val="21"/>
              </w:rPr>
              <w:t>343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right"/>
            </w:pPr>
            <w:r/>
            <w:r>
              <w:rPr>
                <w:rFonts w:ascii="Times New Roman" w:hAnsi="Times New Roman" w:cs="Times New Roman" w:eastAsia="Times New Roman"/>
                <w:sz w:val="21"/>
              </w:rPr>
              <w:t>—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right"/>
            </w:pPr>
            <w:r/>
            <w:r>
              <w:rPr>
                <w:rFonts w:ascii="Times New Roman" w:hAnsi="Times New Roman" w:cs="Times New Roman" w:eastAsia="Times New Roman"/>
                <w:sz w:val="21"/>
              </w:rPr>
              <w:t>6</w:t>
            </w:r>
          </w:p>
        </w:tc>
      </w:tr>
    </w:tbl>
    <w:p>
      <w:pPr>
        <w:spacing w:before="120" w:after="40"/>
        <w:jc w:val="center"/>
      </w:pPr>
      <w:r>
        <w:rPr>
          <w:rFonts w:ascii="Times New Roman" w:hAnsi="Times New Roman" w:cs="Times New Roman" w:eastAsia="Times New Roman"/>
          <w:color w:val="5B6573"/>
          <w:sz w:val="21"/>
        </w:rPr>
        <w:t>При 2 шардах multi-probe эквивалентен исчерпывающему поиску; кластеризация важна лишь на множестве слоёв.</w:t>
      </w:r>
    </w:p>
    <w:p>
      <w:pPr>
        <w:spacing w:after="40"/>
      </w:pPr>
    </w:p>
    <w:p>
      <w:pPr>
        <w:keepNext/>
        <w:spacing w:before="240" w:after="80"/>
        <w:jc w:val="left"/>
      </w:pPr>
      <w:r>
        <w:rPr>
          <w:rFonts w:ascii="Times New Roman" w:hAnsi="Times New Roman" w:cs="Times New Roman" w:eastAsia="Times New Roman"/>
          <w:b/>
          <w:sz w:val="24"/>
        </w:rPr>
        <w:t>3. Результаты</w:t>
      </w:r>
    </w:p>
    <w:p>
      <w:pPr>
        <w:spacing w:before="0" w:after="0"/>
        <w:ind w:firstLine="397"/>
        <w:jc w:val="both"/>
      </w:pPr>
      <w:r>
        <w:rPr>
          <w:rFonts w:ascii="Times New Roman" w:hAnsi="Times New Roman" w:cs="Times New Roman" w:eastAsia="Times New Roman"/>
        </w:rPr>
        <w:t>Основные результаты приведены в таблице 2 и на рисунке 4. На реальном корпусе слой поиска примерно удваивает полноту (0.633 против 0.333) и улучшает ранжирование первого релевантного на 65% по MRR (0.718 против 0.435) относительно лексического базлайна.</w:t>
      </w:r>
    </w:p>
    <w:p>
      <w:pPr>
        <w:spacing w:before="120" w:after="40"/>
        <w:jc w:val="left"/>
      </w:pPr>
      <w:r>
        <w:rPr>
          <w:rFonts w:ascii="Times New Roman" w:hAnsi="Times New Roman" w:cs="Times New Roman" w:eastAsia="Times New Roman"/>
          <w:b/>
          <w:color w:val="5B6573"/>
          <w:sz w:val="21"/>
        </w:rPr>
        <w:t>Таблица 2 — Основные результаты поиска (162 документа, 15 запросов, top-k = 5)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EDEFF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sz w:val="21"/>
              </w:rPr>
              <w:t>Ретривер</w:t>
            </w:r>
          </w:p>
        </w:tc>
        <w:tc>
          <w:tcPr>
            <w:tcW w:type="dxa" w:w="2268"/>
            <w:shd w:val="clear" w:fill="EDEFF2"/>
          </w:tcPr>
          <w:p>
            <w:pPr>
              <w:spacing w:line="240" w:lineRule="auto" w:after="0"/>
              <w:jc w:val="right"/>
            </w:pPr>
            <w:r/>
            <w:r>
              <w:rPr>
                <w:rFonts w:ascii="Times New Roman" w:hAnsi="Times New Roman" w:cs="Times New Roman" w:eastAsia="Times New Roman"/>
                <w:b/>
                <w:sz w:val="21"/>
              </w:rPr>
              <w:t>recall@5</w:t>
            </w:r>
          </w:p>
        </w:tc>
        <w:tc>
          <w:tcPr>
            <w:tcW w:type="dxa" w:w="2268"/>
            <w:shd w:val="clear" w:fill="EDEFF2"/>
          </w:tcPr>
          <w:p>
            <w:pPr>
              <w:spacing w:line="240" w:lineRule="auto" w:after="0"/>
              <w:jc w:val="right"/>
            </w:pPr>
            <w:r/>
            <w:r>
              <w:rPr>
                <w:rFonts w:ascii="Times New Roman" w:hAnsi="Times New Roman" w:cs="Times New Roman" w:eastAsia="Times New Roman"/>
                <w:b/>
                <w:sz w:val="21"/>
              </w:rPr>
              <w:t>MRR</w:t>
            </w:r>
          </w:p>
        </w:tc>
        <w:tc>
          <w:tcPr>
            <w:tcW w:type="dxa" w:w="2268"/>
            <w:shd w:val="clear" w:fill="EDEFF2"/>
          </w:tcPr>
          <w:p>
            <w:pPr>
              <w:spacing w:line="240" w:lineRule="auto" w:after="0"/>
              <w:jc w:val="right"/>
            </w:pPr>
            <w:r/>
            <w:r>
              <w:rPr>
                <w:rFonts w:ascii="Times New Roman" w:hAnsi="Times New Roman" w:cs="Times New Roman" w:eastAsia="Times New Roman"/>
                <w:b/>
                <w:sz w:val="21"/>
              </w:rPr>
              <w:t>nDCG@5</w:t>
            </w:r>
          </w:p>
        </w:tc>
      </w:tr>
      <w:tr>
        <w:tc>
          <w:tcPr>
            <w:tcW w:type="dxa" w:w="2268"/>
            <w:shd w:val="clear" w:fill="EEFAF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sz w:val="21"/>
              </w:rPr>
              <w:t>semantic (предложенный движок)</w:t>
            </w:r>
          </w:p>
        </w:tc>
        <w:tc>
          <w:tcPr>
            <w:tcW w:type="dxa" w:w="2268"/>
            <w:shd w:val="clear" w:fill="EEFAF4"/>
          </w:tcPr>
          <w:p>
            <w:pPr>
              <w:spacing w:line="240" w:lineRule="auto" w:after="0"/>
              <w:jc w:val="right"/>
            </w:pPr>
            <w:r/>
            <w:r>
              <w:rPr>
                <w:rFonts w:ascii="Times New Roman" w:hAnsi="Times New Roman" w:cs="Times New Roman" w:eastAsia="Times New Roman"/>
                <w:sz w:val="21"/>
              </w:rPr>
              <w:t>0.633</w:t>
            </w:r>
          </w:p>
        </w:tc>
        <w:tc>
          <w:tcPr>
            <w:tcW w:type="dxa" w:w="2268"/>
            <w:shd w:val="clear" w:fill="EEFAF4"/>
          </w:tcPr>
          <w:p>
            <w:pPr>
              <w:spacing w:line="240" w:lineRule="auto" w:after="0"/>
              <w:jc w:val="right"/>
            </w:pPr>
            <w:r/>
            <w:r>
              <w:rPr>
                <w:rFonts w:ascii="Times New Roman" w:hAnsi="Times New Roman" w:cs="Times New Roman" w:eastAsia="Times New Roman"/>
                <w:sz w:val="21"/>
              </w:rPr>
              <w:t>0.718</w:t>
            </w:r>
          </w:p>
        </w:tc>
        <w:tc>
          <w:tcPr>
            <w:tcW w:type="dxa" w:w="2268"/>
            <w:shd w:val="clear" w:fill="EEFAF4"/>
          </w:tcPr>
          <w:p>
            <w:pPr>
              <w:spacing w:line="240" w:lineRule="auto" w:after="0"/>
              <w:jc w:val="right"/>
            </w:pPr>
            <w:r/>
            <w:r>
              <w:rPr>
                <w:rFonts w:ascii="Times New Roman" w:hAnsi="Times New Roman" w:cs="Times New Roman" w:eastAsia="Times New Roman"/>
                <w:sz w:val="21"/>
              </w:rPr>
              <w:t>0.626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sz w:val="21"/>
              </w:rPr>
              <w:t>hybrid (символы + семантика)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right"/>
            </w:pPr>
            <w:r/>
            <w:r>
              <w:rPr>
                <w:rFonts w:ascii="Times New Roman" w:hAnsi="Times New Roman" w:cs="Times New Roman" w:eastAsia="Times New Roman"/>
                <w:sz w:val="21"/>
              </w:rPr>
              <w:t>0.633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right"/>
            </w:pPr>
            <w:r/>
            <w:r>
              <w:rPr>
                <w:rFonts w:ascii="Times New Roman" w:hAnsi="Times New Roman" w:cs="Times New Roman" w:eastAsia="Times New Roman"/>
                <w:sz w:val="21"/>
              </w:rPr>
              <w:t>0.718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right"/>
            </w:pPr>
            <w:r/>
            <w:r>
              <w:rPr>
                <w:rFonts w:ascii="Times New Roman" w:hAnsi="Times New Roman" w:cs="Times New Roman" w:eastAsia="Times New Roman"/>
                <w:sz w:val="21"/>
              </w:rPr>
              <w:t>0.626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sz w:val="21"/>
              </w:rPr>
              <w:t>flat (исчерпывающий косинус)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right"/>
            </w:pPr>
            <w:r/>
            <w:r>
              <w:rPr>
                <w:rFonts w:ascii="Times New Roman" w:hAnsi="Times New Roman" w:cs="Times New Roman" w:eastAsia="Times New Roman"/>
                <w:sz w:val="21"/>
              </w:rPr>
              <w:t>0.633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right"/>
            </w:pPr>
            <w:r/>
            <w:r>
              <w:rPr>
                <w:rFonts w:ascii="Times New Roman" w:hAnsi="Times New Roman" w:cs="Times New Roman" w:eastAsia="Times New Roman"/>
                <w:sz w:val="21"/>
              </w:rPr>
              <w:t>0.718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right"/>
            </w:pPr>
            <w:r/>
            <w:r>
              <w:rPr>
                <w:rFonts w:ascii="Times New Roman" w:hAnsi="Times New Roman" w:cs="Times New Roman" w:eastAsia="Times New Roman"/>
                <w:sz w:val="21"/>
              </w:rPr>
              <w:t>0.626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sz w:val="21"/>
              </w:rPr>
              <w:t>lexical (лексический базлайн)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right"/>
            </w:pPr>
            <w:r/>
            <w:r>
              <w:rPr>
                <w:rFonts w:ascii="Times New Roman" w:hAnsi="Times New Roman" w:cs="Times New Roman" w:eastAsia="Times New Roman"/>
                <w:sz w:val="21"/>
              </w:rPr>
              <w:t>0.333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right"/>
            </w:pPr>
            <w:r/>
            <w:r>
              <w:rPr>
                <w:rFonts w:ascii="Times New Roman" w:hAnsi="Times New Roman" w:cs="Times New Roman" w:eastAsia="Times New Roman"/>
                <w:sz w:val="21"/>
              </w:rPr>
              <w:t>0.435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right"/>
            </w:pPr>
            <w:r/>
            <w:r>
              <w:rPr>
                <w:rFonts w:ascii="Times New Roman" w:hAnsi="Times New Roman" w:cs="Times New Roman" w:eastAsia="Times New Roman"/>
                <w:sz w:val="21"/>
              </w:rPr>
              <w:t>0.303</w:t>
            </w:r>
          </w:p>
        </w:tc>
      </w:tr>
    </w:tbl>
    <w:p>
      <w:pPr>
        <w:spacing w:before="120" w:after="40"/>
        <w:jc w:val="center"/>
      </w:pPr>
      <w:r>
        <w:rPr>
          <w:rFonts w:ascii="Times New Roman" w:hAnsi="Times New Roman" w:cs="Times New Roman" w:eastAsia="Times New Roman"/>
          <w:color w:val="5B6573"/>
          <w:sz w:val="21"/>
        </w:rPr>
        <w:t>Равенство semantic = hybrid = flat обусловлено наличием лишь двух шардов, при котором multi-probe эквивалентен исчерпывающему поиску.</w:t>
      </w:r>
    </w:p>
    <w:p>
      <w:pPr>
        <w:spacing w:after="40"/>
      </w:pP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4680000" cy="191839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resul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918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cs="Times New Roman" w:eastAsia="Times New Roman"/>
          <w:color w:val="5B6573"/>
          <w:sz w:val="21"/>
        </w:rPr>
        <w:t>Рисунок 4 — Плотный поиск против лексического базлайна по трём метрикам</w:t>
      </w:r>
    </w:p>
    <w:p>
      <w:pPr>
        <w:keepNext/>
        <w:spacing w:before="240" w:after="80"/>
        <w:jc w:val="left"/>
      </w:pPr>
      <w:r>
        <w:rPr>
          <w:rFonts w:ascii="Times New Roman" w:hAnsi="Times New Roman" w:cs="Times New Roman" w:eastAsia="Times New Roman"/>
          <w:b/>
          <w:sz w:val="24"/>
        </w:rPr>
        <w:t>4. Обсуждение результатов и уточнение метода</w:t>
      </w: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/>
          <w:sz w:val="24"/>
        </w:rPr>
        <w:t>4.1 Ранжирование гибридного поиска</w:t>
      </w:r>
    </w:p>
    <w:p>
      <w:pPr>
        <w:spacing w:before="0" w:after="0"/>
        <w:ind w:firstLine="397"/>
        <w:jc w:val="both"/>
      </w:pPr>
      <w:r>
        <w:rPr>
          <w:rFonts w:ascii="Times New Roman" w:hAnsi="Times New Roman" w:cs="Times New Roman" w:eastAsia="Times New Roman"/>
        </w:rPr>
        <w:t>Первый прогон выявил дефект: при исходном слиянии все символьные совпадения помещались выше семантических, вследствие чего тангенциальные точные совпадения вытесняли лучшие семантические результаты, и гибрид ранжировал хуже чистой семантики (MRR 0.641 против 0.718). Два уточнения, измеренные на одном индексе, устранили разрыв (таблица 3, рисунок 5): переход к единому ранжированию по score и ужесточение извлечения символов с исключением дженерик-аббревиатур. Диагноз локализован до одного запроса, в котором аббревиатура JSON трактовалась как код-идентификатор.</w:t>
      </w:r>
    </w:p>
    <w:p>
      <w:pPr>
        <w:spacing w:before="120" w:after="40"/>
        <w:jc w:val="left"/>
      </w:pPr>
      <w:r>
        <w:rPr>
          <w:rFonts w:ascii="Times New Roman" w:hAnsi="Times New Roman" w:cs="Times New Roman" w:eastAsia="Times New Roman"/>
          <w:b/>
          <w:color w:val="5B6573"/>
          <w:sz w:val="21"/>
        </w:rPr>
        <w:t>Таблица 3 — Уточнение ранжирования (метрики гибридного ретривера)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DEFF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sz w:val="21"/>
              </w:rPr>
              <w:t>Конфигурация</w:t>
            </w:r>
          </w:p>
        </w:tc>
        <w:tc>
          <w:tcPr>
            <w:tcW w:type="dxa" w:w="3024"/>
            <w:shd w:val="clear" w:fill="EDEFF2"/>
          </w:tcPr>
          <w:p>
            <w:pPr>
              <w:spacing w:line="240" w:lineRule="auto" w:after="0"/>
              <w:jc w:val="right"/>
            </w:pPr>
            <w:r/>
            <w:r>
              <w:rPr>
                <w:rFonts w:ascii="Times New Roman" w:hAnsi="Times New Roman" w:cs="Times New Roman" w:eastAsia="Times New Roman"/>
                <w:b/>
                <w:sz w:val="21"/>
              </w:rPr>
              <w:t>MRR</w:t>
            </w:r>
          </w:p>
        </w:tc>
        <w:tc>
          <w:tcPr>
            <w:tcW w:type="dxa" w:w="3024"/>
            <w:shd w:val="clear" w:fill="EDEFF2"/>
          </w:tcPr>
          <w:p>
            <w:pPr>
              <w:spacing w:line="240" w:lineRule="auto" w:after="0"/>
              <w:jc w:val="right"/>
            </w:pPr>
            <w:r/>
            <w:r>
              <w:rPr>
                <w:rFonts w:ascii="Times New Roman" w:hAnsi="Times New Roman" w:cs="Times New Roman" w:eastAsia="Times New Roman"/>
                <w:b/>
                <w:sz w:val="21"/>
              </w:rPr>
              <w:t>nDCG@5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sz w:val="21"/>
              </w:rPr>
              <w:t>исходная (жёсткий приоритет символов)</w:t>
            </w:r>
          </w:p>
        </w:tc>
        <w:tc>
          <w:tcPr>
            <w:tcW w:type="dxa" w:w="3024"/>
          </w:tcPr>
          <w:p>
            <w:pPr>
              <w:spacing w:line="240" w:lineRule="auto" w:after="0"/>
              <w:jc w:val="right"/>
            </w:pPr>
            <w:r/>
            <w:r>
              <w:rPr>
                <w:rFonts w:ascii="Times New Roman" w:hAnsi="Times New Roman" w:cs="Times New Roman" w:eastAsia="Times New Roman"/>
                <w:sz w:val="21"/>
              </w:rPr>
              <w:t>0.641</w:t>
            </w:r>
          </w:p>
        </w:tc>
        <w:tc>
          <w:tcPr>
            <w:tcW w:type="dxa" w:w="3024"/>
          </w:tcPr>
          <w:p>
            <w:pPr>
              <w:spacing w:line="240" w:lineRule="auto" w:after="0"/>
              <w:jc w:val="right"/>
            </w:pPr>
            <w:r/>
            <w:r>
              <w:rPr>
                <w:rFonts w:ascii="Times New Roman" w:hAnsi="Times New Roman" w:cs="Times New Roman" w:eastAsia="Times New Roman"/>
                <w:sz w:val="21"/>
              </w:rPr>
              <w:t>0.577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sz w:val="21"/>
              </w:rPr>
              <w:t>+ единое ранжирование по score</w:t>
            </w:r>
          </w:p>
        </w:tc>
        <w:tc>
          <w:tcPr>
            <w:tcW w:type="dxa" w:w="3024"/>
          </w:tcPr>
          <w:p>
            <w:pPr>
              <w:spacing w:line="240" w:lineRule="auto" w:after="0"/>
              <w:jc w:val="right"/>
            </w:pPr>
            <w:r/>
            <w:r>
              <w:rPr>
                <w:rFonts w:ascii="Times New Roman" w:hAnsi="Times New Roman" w:cs="Times New Roman" w:eastAsia="Times New Roman"/>
                <w:sz w:val="21"/>
              </w:rPr>
              <w:t>0.685</w:t>
            </w:r>
          </w:p>
        </w:tc>
        <w:tc>
          <w:tcPr>
            <w:tcW w:type="dxa" w:w="3024"/>
          </w:tcPr>
          <w:p>
            <w:pPr>
              <w:spacing w:line="240" w:lineRule="auto" w:after="0"/>
              <w:jc w:val="right"/>
            </w:pPr>
            <w:r/>
            <w:r>
              <w:rPr>
                <w:rFonts w:ascii="Times New Roman" w:hAnsi="Times New Roman" w:cs="Times New Roman" w:eastAsia="Times New Roman"/>
                <w:sz w:val="21"/>
              </w:rPr>
              <w:t>0.610</w:t>
            </w:r>
          </w:p>
        </w:tc>
      </w:tr>
      <w:tr>
        <w:tc>
          <w:tcPr>
            <w:tcW w:type="dxa" w:w="3024"/>
            <w:shd w:val="clear" w:fill="EEFAF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sz w:val="21"/>
              </w:rPr>
              <w:t>+ строгое извлечение символов</w:t>
            </w:r>
          </w:p>
        </w:tc>
        <w:tc>
          <w:tcPr>
            <w:tcW w:type="dxa" w:w="3024"/>
            <w:shd w:val="clear" w:fill="EEFAF4"/>
          </w:tcPr>
          <w:p>
            <w:pPr>
              <w:spacing w:line="240" w:lineRule="auto" w:after="0"/>
              <w:jc w:val="right"/>
            </w:pPr>
            <w:r/>
            <w:r>
              <w:rPr>
                <w:rFonts w:ascii="Times New Roman" w:hAnsi="Times New Roman" w:cs="Times New Roman" w:eastAsia="Times New Roman"/>
                <w:sz w:val="21"/>
              </w:rPr>
              <w:t>0.718</w:t>
            </w:r>
          </w:p>
        </w:tc>
        <w:tc>
          <w:tcPr>
            <w:tcW w:type="dxa" w:w="3024"/>
            <w:shd w:val="clear" w:fill="EEFAF4"/>
          </w:tcPr>
          <w:p>
            <w:pPr>
              <w:spacing w:line="240" w:lineRule="auto" w:after="0"/>
              <w:jc w:val="right"/>
            </w:pPr>
            <w:r/>
            <w:r>
              <w:rPr>
                <w:rFonts w:ascii="Times New Roman" w:hAnsi="Times New Roman" w:cs="Times New Roman" w:eastAsia="Times New Roman"/>
                <w:sz w:val="21"/>
              </w:rPr>
              <w:t>0.626</w:t>
            </w:r>
          </w:p>
        </w:tc>
      </w:tr>
    </w:tbl>
    <w:p>
      <w:pPr>
        <w:spacing w:before="120" w:after="40"/>
        <w:jc w:val="center"/>
      </w:pPr>
      <w:r>
        <w:rPr>
          <w:rFonts w:ascii="Times New Roman" w:hAnsi="Times New Roman" w:cs="Times New Roman" w:eastAsia="Times New Roman"/>
          <w:color w:val="5B6573"/>
          <w:sz w:val="21"/>
        </w:rPr>
        <w:t>Суммарный прирост — 12% MRR без изменения полноты.</w:t>
      </w:r>
    </w:p>
    <w:p>
      <w:pPr>
        <w:spacing w:after="40"/>
      </w:pP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4680000" cy="191782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refin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917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cs="Times New Roman" w:eastAsia="Times New Roman"/>
          <w:color w:val="5B6573"/>
          <w:sz w:val="21"/>
        </w:rPr>
        <w:t>Рисунок 5 — Продиктованный измерениями прогресс MRR гибрида (0.641 → 0.685 → 0.718)</w:t>
      </w: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/>
          <w:sz w:val="24"/>
        </w:rPr>
        <w:t>4.2 Сравнение стратегий чанкинга</w:t>
      </w:r>
    </w:p>
    <w:p>
      <w:pPr>
        <w:spacing w:before="0" w:after="0"/>
        <w:ind w:firstLine="397"/>
        <w:jc w:val="both"/>
      </w:pPr>
      <w:r>
        <w:rPr>
          <w:rFonts w:ascii="Times New Roman" w:hAnsi="Times New Roman" w:cs="Times New Roman" w:eastAsia="Times New Roman"/>
        </w:rPr>
        <w:t>При прочих равных индекс пересобран под каждую стратегию. Структурный чанкинг превзошёл оконный по ранжированию при равной полноте (таблица 4, рисунок 6), что подтверждает на данном корпусе общее качественное наблюдение о пользе структурного разбиения [1].</w:t>
      </w:r>
    </w:p>
    <w:p>
      <w:pPr>
        <w:spacing w:before="120" w:after="40"/>
        <w:jc w:val="left"/>
      </w:pPr>
      <w:r>
        <w:rPr>
          <w:rFonts w:ascii="Times New Roman" w:hAnsi="Times New Roman" w:cs="Times New Roman" w:eastAsia="Times New Roman"/>
          <w:b/>
          <w:color w:val="5B6573"/>
          <w:sz w:val="21"/>
        </w:rPr>
        <w:t>Таблица 4 — Структурный чанкинг против фиксированного окна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EDEFF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sz w:val="21"/>
              </w:rPr>
              <w:t>Чанкинг</w:t>
            </w:r>
          </w:p>
        </w:tc>
        <w:tc>
          <w:tcPr>
            <w:tcW w:type="dxa" w:w="1814"/>
            <w:shd w:val="clear" w:fill="EDEFF2"/>
          </w:tcPr>
          <w:p>
            <w:pPr>
              <w:spacing w:line="240" w:lineRule="auto" w:after="0"/>
              <w:jc w:val="right"/>
            </w:pPr>
            <w:r/>
            <w:r>
              <w:rPr>
                <w:rFonts w:ascii="Times New Roman" w:hAnsi="Times New Roman" w:cs="Times New Roman" w:eastAsia="Times New Roman"/>
                <w:b/>
                <w:sz w:val="21"/>
              </w:rPr>
              <w:t>recall@5</w:t>
            </w:r>
          </w:p>
        </w:tc>
        <w:tc>
          <w:tcPr>
            <w:tcW w:type="dxa" w:w="1814"/>
            <w:shd w:val="clear" w:fill="EDEFF2"/>
          </w:tcPr>
          <w:p>
            <w:pPr>
              <w:spacing w:line="240" w:lineRule="auto" w:after="0"/>
              <w:jc w:val="right"/>
            </w:pPr>
            <w:r/>
            <w:r>
              <w:rPr>
                <w:rFonts w:ascii="Times New Roman" w:hAnsi="Times New Roman" w:cs="Times New Roman" w:eastAsia="Times New Roman"/>
                <w:b/>
                <w:sz w:val="21"/>
              </w:rPr>
              <w:t>MRR</w:t>
            </w:r>
          </w:p>
        </w:tc>
        <w:tc>
          <w:tcPr>
            <w:tcW w:type="dxa" w:w="1814"/>
            <w:shd w:val="clear" w:fill="EDEFF2"/>
          </w:tcPr>
          <w:p>
            <w:pPr>
              <w:spacing w:line="240" w:lineRule="auto" w:after="0"/>
              <w:jc w:val="right"/>
            </w:pPr>
            <w:r/>
            <w:r>
              <w:rPr>
                <w:rFonts w:ascii="Times New Roman" w:hAnsi="Times New Roman" w:cs="Times New Roman" w:eastAsia="Times New Roman"/>
                <w:b/>
                <w:sz w:val="21"/>
              </w:rPr>
              <w:t>nDCG@5</w:t>
            </w:r>
          </w:p>
        </w:tc>
        <w:tc>
          <w:tcPr>
            <w:tcW w:type="dxa" w:w="1814"/>
            <w:shd w:val="clear" w:fill="EDEFF2"/>
          </w:tcPr>
          <w:p>
            <w:pPr>
              <w:spacing w:line="240" w:lineRule="auto" w:after="0"/>
              <w:jc w:val="right"/>
            </w:pPr>
            <w:r/>
            <w:r>
              <w:rPr>
                <w:rFonts w:ascii="Times New Roman" w:hAnsi="Times New Roman" w:cs="Times New Roman" w:eastAsia="Times New Roman"/>
                <w:b/>
                <w:sz w:val="21"/>
              </w:rPr>
              <w:t>фрагментов</w:t>
            </w:r>
          </w:p>
        </w:tc>
      </w:tr>
      <w:tr>
        <w:tc>
          <w:tcPr>
            <w:tcW w:type="dxa" w:w="1814"/>
            <w:shd w:val="clear" w:fill="EEFAF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sz w:val="21"/>
              </w:rPr>
              <w:t>структурный</w:t>
            </w:r>
          </w:p>
        </w:tc>
        <w:tc>
          <w:tcPr>
            <w:tcW w:type="dxa" w:w="1814"/>
            <w:shd w:val="clear" w:fill="EEFAF4"/>
          </w:tcPr>
          <w:p>
            <w:pPr>
              <w:spacing w:line="240" w:lineRule="auto" w:after="0"/>
              <w:jc w:val="right"/>
            </w:pPr>
            <w:r/>
            <w:r>
              <w:rPr>
                <w:rFonts w:ascii="Times New Roman" w:hAnsi="Times New Roman" w:cs="Times New Roman" w:eastAsia="Times New Roman"/>
                <w:sz w:val="21"/>
              </w:rPr>
              <w:t>0.633</w:t>
            </w:r>
          </w:p>
        </w:tc>
        <w:tc>
          <w:tcPr>
            <w:tcW w:type="dxa" w:w="1814"/>
            <w:shd w:val="clear" w:fill="EEFAF4"/>
          </w:tcPr>
          <w:p>
            <w:pPr>
              <w:spacing w:line="240" w:lineRule="auto" w:after="0"/>
              <w:jc w:val="right"/>
            </w:pPr>
            <w:r/>
            <w:r>
              <w:rPr>
                <w:rFonts w:ascii="Times New Roman" w:hAnsi="Times New Roman" w:cs="Times New Roman" w:eastAsia="Times New Roman"/>
                <w:sz w:val="21"/>
              </w:rPr>
              <w:t>0.718</w:t>
            </w:r>
          </w:p>
        </w:tc>
        <w:tc>
          <w:tcPr>
            <w:tcW w:type="dxa" w:w="1814"/>
            <w:shd w:val="clear" w:fill="EEFAF4"/>
          </w:tcPr>
          <w:p>
            <w:pPr>
              <w:spacing w:line="240" w:lineRule="auto" w:after="0"/>
              <w:jc w:val="right"/>
            </w:pPr>
            <w:r/>
            <w:r>
              <w:rPr>
                <w:rFonts w:ascii="Times New Roman" w:hAnsi="Times New Roman" w:cs="Times New Roman" w:eastAsia="Times New Roman"/>
                <w:sz w:val="21"/>
              </w:rPr>
              <w:t>0.626</w:t>
            </w:r>
          </w:p>
        </w:tc>
        <w:tc>
          <w:tcPr>
            <w:tcW w:type="dxa" w:w="1814"/>
            <w:shd w:val="clear" w:fill="EEFAF4"/>
          </w:tcPr>
          <w:p>
            <w:pPr>
              <w:spacing w:line="240" w:lineRule="auto" w:after="0"/>
              <w:jc w:val="right"/>
            </w:pPr>
            <w:r/>
            <w:r>
              <w:rPr>
                <w:rFonts w:ascii="Times New Roman" w:hAnsi="Times New Roman" w:cs="Times New Roman" w:eastAsia="Times New Roman"/>
                <w:sz w:val="21"/>
              </w:rPr>
              <w:t>433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sz w:val="21"/>
              </w:rPr>
              <w:t>фиксированное окно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right"/>
            </w:pPr>
            <w:r/>
            <w:r>
              <w:rPr>
                <w:rFonts w:ascii="Times New Roman" w:hAnsi="Times New Roman" w:cs="Times New Roman" w:eastAsia="Times New Roman"/>
                <w:sz w:val="21"/>
              </w:rPr>
              <w:t>0.633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right"/>
            </w:pPr>
            <w:r/>
            <w:r>
              <w:rPr>
                <w:rFonts w:ascii="Times New Roman" w:hAnsi="Times New Roman" w:cs="Times New Roman" w:eastAsia="Times New Roman"/>
                <w:sz w:val="21"/>
              </w:rPr>
              <w:t>0.666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right"/>
            </w:pPr>
            <w:r/>
            <w:r>
              <w:rPr>
                <w:rFonts w:ascii="Times New Roman" w:hAnsi="Times New Roman" w:cs="Times New Roman" w:eastAsia="Times New Roman"/>
                <w:sz w:val="21"/>
              </w:rPr>
              <w:t>0.585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right"/>
            </w:pPr>
            <w:r/>
            <w:r>
              <w:rPr>
                <w:rFonts w:ascii="Times New Roman" w:hAnsi="Times New Roman" w:cs="Times New Roman" w:eastAsia="Times New Roman"/>
                <w:sz w:val="21"/>
              </w:rPr>
              <w:t>418</w:t>
            </w:r>
          </w:p>
        </w:tc>
      </w:tr>
    </w:tbl>
    <w:p>
      <w:pPr>
        <w:spacing w:before="120" w:after="40"/>
        <w:jc w:val="center"/>
      </w:pPr>
      <w:r>
        <w:rPr>
          <w:rFonts w:ascii="Times New Roman" w:hAnsi="Times New Roman" w:cs="Times New Roman" w:eastAsia="Times New Roman"/>
          <w:color w:val="5B6573"/>
          <w:sz w:val="21"/>
        </w:rPr>
        <w:t>Прирост структурного чанкинга — 7.8% MRR и 7% nDCG.</w:t>
      </w:r>
    </w:p>
    <w:p>
      <w:pPr>
        <w:spacing w:after="40"/>
      </w:pP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4680000" cy="191839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chunking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918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cs="Times New Roman" w:eastAsia="Times New Roman"/>
          <w:color w:val="5B6573"/>
          <w:sz w:val="21"/>
        </w:rPr>
        <w:t>Рисунок 6 — Структурный против оконного чанкинга при равной полноте</w:t>
      </w:r>
    </w:p>
    <w:p>
      <w:pPr>
        <w:keepNext/>
        <w:spacing w:before="200" w:after="80"/>
        <w:jc w:val="left"/>
      </w:pPr>
      <w:r>
        <w:rPr>
          <w:rFonts w:ascii="Times New Roman" w:hAnsi="Times New Roman" w:cs="Times New Roman" w:eastAsia="Times New Roman"/>
          <w:b/>
          <w:sz w:val="24"/>
        </w:rPr>
        <w:t>4.3 Скорость индексации</w:t>
      </w:r>
    </w:p>
    <w:p>
      <w:pPr>
        <w:spacing w:before="0" w:after="0"/>
        <w:ind w:firstLine="397"/>
        <w:jc w:val="both"/>
      </w:pPr>
      <w:r>
        <w:rPr>
          <w:rFonts w:ascii="Times New Roman" w:hAnsi="Times New Roman" w:cs="Times New Roman" w:eastAsia="Times New Roman"/>
        </w:rPr>
        <w:t>Корректность ускорений проверялась до измерения времени. Батч-эмбеддинг доказанно эквивалентен одиночному (минимальный косинус 0.99999997), но на CPU даёт лишь около 11% выигрыша, поскольку прямой проход модели насыщает вычисления. Перенос на GPU через DirectML [9] даёт восьмикратное ускорение при сохранении численной эквивалентности (таблица 5, рисунок 7), снижая время полной индексации с порядка получаса до нескольких минут.</w:t>
      </w:r>
    </w:p>
    <w:p>
      <w:pPr>
        <w:spacing w:before="120" w:after="40"/>
        <w:jc w:val="left"/>
      </w:pPr>
      <w:r>
        <w:rPr>
          <w:rFonts w:ascii="Times New Roman" w:hAnsi="Times New Roman" w:cs="Times New Roman" w:eastAsia="Times New Roman"/>
          <w:b/>
          <w:color w:val="5B6573"/>
          <w:sz w:val="21"/>
        </w:rPr>
        <w:t>Таблица 5 — Скорость эмбеддинга и эквивалентность результатов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EDEFF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sz w:val="21"/>
              </w:rPr>
              <w:t>Конфигурация</w:t>
            </w:r>
          </w:p>
        </w:tc>
        <w:tc>
          <w:tcPr>
            <w:tcW w:type="dxa" w:w="2268"/>
            <w:shd w:val="clear" w:fill="EDEFF2"/>
          </w:tcPr>
          <w:p>
            <w:pPr>
              <w:spacing w:line="240" w:lineRule="auto" w:after="0"/>
              <w:jc w:val="right"/>
            </w:pPr>
            <w:r/>
            <w:r>
              <w:rPr>
                <w:rFonts w:ascii="Times New Roman" w:hAnsi="Times New Roman" w:cs="Times New Roman" w:eastAsia="Times New Roman"/>
                <w:b/>
                <w:sz w:val="21"/>
              </w:rPr>
              <w:t>время (12 эмб.)</w:t>
            </w:r>
          </w:p>
        </w:tc>
        <w:tc>
          <w:tcPr>
            <w:tcW w:type="dxa" w:w="2268"/>
            <w:shd w:val="clear" w:fill="EDEFF2"/>
          </w:tcPr>
          <w:p>
            <w:pPr>
              <w:spacing w:line="240" w:lineRule="auto" w:after="0"/>
              <w:jc w:val="right"/>
            </w:pPr>
            <w:r/>
            <w:r>
              <w:rPr>
                <w:rFonts w:ascii="Times New Roman" w:hAnsi="Times New Roman" w:cs="Times New Roman" w:eastAsia="Times New Roman"/>
                <w:b/>
                <w:sz w:val="21"/>
              </w:rPr>
              <w:t>ускорение</w:t>
            </w:r>
          </w:p>
        </w:tc>
        <w:tc>
          <w:tcPr>
            <w:tcW w:type="dxa" w:w="2268"/>
            <w:shd w:val="clear" w:fill="EDEFF2"/>
          </w:tcPr>
          <w:p>
            <w:pPr>
              <w:spacing w:line="240" w:lineRule="auto" w:after="0"/>
              <w:jc w:val="right"/>
            </w:pPr>
            <w:r/>
            <w:r>
              <w:rPr>
                <w:rFonts w:ascii="Times New Roman" w:hAnsi="Times New Roman" w:cs="Times New Roman" w:eastAsia="Times New Roman"/>
                <w:b/>
                <w:sz w:val="21"/>
              </w:rPr>
              <w:t>косинус к CPU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sz w:val="21"/>
              </w:rPr>
              <w:t>центральный процессор (база)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right"/>
            </w:pPr>
            <w:r/>
            <w:r>
              <w:rPr>
                <w:rFonts w:ascii="Times New Roman" w:hAnsi="Times New Roman" w:cs="Times New Roman" w:eastAsia="Times New Roman"/>
                <w:sz w:val="21"/>
              </w:rPr>
              <w:t>9657 мс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right"/>
            </w:pPr>
            <w:r/>
            <w:r>
              <w:rPr>
                <w:rFonts w:ascii="Times New Roman" w:hAnsi="Times New Roman" w:cs="Times New Roman" w:eastAsia="Times New Roman"/>
                <w:sz w:val="21"/>
              </w:rPr>
              <w:t>1.0×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right"/>
            </w:pPr>
            <w:r/>
            <w:r>
              <w:rPr>
                <w:rFonts w:ascii="Times New Roman" w:hAnsi="Times New Roman" w:cs="Times New Roman" w:eastAsia="Times New Roman"/>
                <w:sz w:val="21"/>
              </w:rPr>
              <w:t>—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sz w:val="21"/>
              </w:rPr>
              <w:t>+ батчинг (на 45 фрагментах)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right"/>
            </w:pPr>
            <w:r/>
            <w:r>
              <w:rPr>
                <w:rFonts w:ascii="Times New Roman" w:hAnsi="Times New Roman" w:cs="Times New Roman" w:eastAsia="Times New Roman"/>
                <w:sz w:val="21"/>
              </w:rPr>
              <w:t>≈ 11% быстрее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right"/>
            </w:pPr>
            <w:r/>
            <w:r>
              <w:rPr>
                <w:rFonts w:ascii="Times New Roman" w:hAnsi="Times New Roman" w:cs="Times New Roman" w:eastAsia="Times New Roman"/>
                <w:sz w:val="21"/>
              </w:rPr>
              <w:t>≈ 1.1×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right"/>
            </w:pPr>
            <w:r/>
            <w:r>
              <w:rPr>
                <w:rFonts w:ascii="Times New Roman" w:hAnsi="Times New Roman" w:cs="Times New Roman" w:eastAsia="Times New Roman"/>
                <w:sz w:val="21"/>
              </w:rPr>
              <w:t>≥ 0.99999997</w:t>
            </w:r>
          </w:p>
        </w:tc>
      </w:tr>
      <w:tr>
        <w:tc>
          <w:tcPr>
            <w:tcW w:type="dxa" w:w="2268"/>
            <w:shd w:val="clear" w:fill="EEFAF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sz w:val="21"/>
              </w:rPr>
              <w:t>графический процессор (DirectML)</w:t>
            </w:r>
          </w:p>
        </w:tc>
        <w:tc>
          <w:tcPr>
            <w:tcW w:type="dxa" w:w="2268"/>
            <w:shd w:val="clear" w:fill="EEFAF4"/>
          </w:tcPr>
          <w:p>
            <w:pPr>
              <w:spacing w:line="240" w:lineRule="auto" w:after="0"/>
              <w:jc w:val="right"/>
            </w:pPr>
            <w:r/>
            <w:r>
              <w:rPr>
                <w:rFonts w:ascii="Times New Roman" w:hAnsi="Times New Roman" w:cs="Times New Roman" w:eastAsia="Times New Roman"/>
                <w:sz w:val="21"/>
              </w:rPr>
              <w:t>1205 мс</w:t>
            </w:r>
          </w:p>
        </w:tc>
        <w:tc>
          <w:tcPr>
            <w:tcW w:type="dxa" w:w="2268"/>
            <w:shd w:val="clear" w:fill="EEFAF4"/>
          </w:tcPr>
          <w:p>
            <w:pPr>
              <w:spacing w:line="240" w:lineRule="auto" w:after="0"/>
              <w:jc w:val="right"/>
            </w:pPr>
            <w:r/>
            <w:r>
              <w:rPr>
                <w:rFonts w:ascii="Times New Roman" w:hAnsi="Times New Roman" w:cs="Times New Roman" w:eastAsia="Times New Roman"/>
                <w:sz w:val="21"/>
              </w:rPr>
              <w:t>8.0×</w:t>
            </w:r>
          </w:p>
        </w:tc>
        <w:tc>
          <w:tcPr>
            <w:tcW w:type="dxa" w:w="2268"/>
            <w:shd w:val="clear" w:fill="EEFAF4"/>
          </w:tcPr>
          <w:p>
            <w:pPr>
              <w:spacing w:line="240" w:lineRule="auto" w:after="0"/>
              <w:jc w:val="right"/>
            </w:pPr>
            <w:r/>
            <w:r>
              <w:rPr>
                <w:rFonts w:ascii="Times New Roman" w:hAnsi="Times New Roman" w:cs="Times New Roman" w:eastAsia="Times New Roman"/>
                <w:sz w:val="21"/>
              </w:rPr>
              <w:t>0.999984</w:t>
            </w:r>
          </w:p>
        </w:tc>
      </w:tr>
    </w:tbl>
    <w:p>
      <w:pPr>
        <w:spacing w:before="120" w:after="40"/>
        <w:jc w:val="center"/>
      </w:pPr>
      <w:r>
        <w:rPr>
          <w:rFonts w:ascii="Times New Roman" w:hAnsi="Times New Roman" w:cs="Times New Roman" w:eastAsia="Times New Roman"/>
          <w:color w:val="5B6573"/>
          <w:sz w:val="21"/>
        </w:rPr>
        <w:t>Доминирующий рычаг скорости — GPU; батчинг — небольшой бесплатный выигрыш.</w:t>
      </w:r>
    </w:p>
    <w:p>
      <w:pPr>
        <w:spacing w:after="40"/>
      </w:pP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20000" cy="166020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gpu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660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cs="Times New Roman" w:eastAsia="Times New Roman"/>
          <w:color w:val="5B6573"/>
          <w:sz w:val="21"/>
        </w:rPr>
        <w:t>Рисунок 7 — Относительная пропускная способность эмбеддинга; GPU — доминирующий рычаг (численно эквивалентно)</w:t>
      </w:r>
    </w:p>
    <w:p>
      <w:pPr>
        <w:keepNext/>
        <w:spacing w:before="240" w:after="80"/>
        <w:jc w:val="left"/>
      </w:pPr>
      <w:r>
        <w:rPr>
          <w:rFonts w:ascii="Times New Roman" w:hAnsi="Times New Roman" w:cs="Times New Roman" w:eastAsia="Times New Roman"/>
          <w:b/>
          <w:sz w:val="24"/>
        </w:rPr>
        <w:t>5. Обсуждение</w:t>
      </w:r>
    </w:p>
    <w:p>
      <w:pPr>
        <w:spacing w:before="0" w:after="0"/>
        <w:ind w:firstLine="397"/>
        <w:jc w:val="both"/>
      </w:pPr>
      <w:r>
        <w:rPr>
          <w:rFonts w:ascii="Times New Roman" w:hAnsi="Times New Roman" w:cs="Times New Roman" w:eastAsia="Times New Roman"/>
        </w:rPr>
        <w:t>Полученные данные показывают, что плотный слой поиска не декоративен: он существенно превосходит лексический базлайн по полноте и ранжированию. На естественно-языковых вопросах рабочим инструментом выступает семантический поиск; символьный поток на данном наборе нейтрален, но предназначен повышать точность на запросах-идентификаторах, не представленных в наборе. Каждое улучшение метода (§4) продиктовано измерением, а не априорным предположением, что иллюстрирует встраивание измерительной установки в инженерный цикл. При двух шардах механизм кластеризации не влияет на результат и начинает играть роль лишь на множестве слоёв. Архитектурные решения (§2) нацелены на сопровождаемость: разделение «источник — производное» с провенансом держит дрейф обнаружимым, а метка общей модели устраняет дублирование по базам, не меняя поведения поиска.</w:t>
      </w:r>
    </w:p>
    <w:p>
      <w:pPr>
        <w:keepNext/>
        <w:spacing w:before="240" w:after="80"/>
        <w:jc w:val="left"/>
      </w:pPr>
      <w:r>
        <w:rPr>
          <w:rFonts w:ascii="Times New Roman" w:hAnsi="Times New Roman" w:cs="Times New Roman" w:eastAsia="Times New Roman"/>
          <w:b/>
          <w:sz w:val="24"/>
        </w:rPr>
        <w:t>6. Ограничения и угрозы валидности</w:t>
      </w:r>
    </w:p>
    <w:p>
      <w:pPr>
        <w:spacing w:before="0" w:after="40"/>
        <w:jc w:val="both"/>
      </w:pPr>
      <w:r>
        <w:rPr>
          <w:rFonts w:ascii="Times New Roman" w:hAnsi="Times New Roman" w:cs="Times New Roman" w:eastAsia="Times New Roman"/>
        </w:rPr>
        <w:t>Установлены следующие ограничения:</w:t>
      </w:r>
    </w:p>
    <w:p>
      <w:pPr>
        <w:pStyle w:val="ListBullet"/>
        <w:spacing w:line="360" w:lineRule="auto"/>
      </w:pPr>
      <w:r>
        <w:rPr>
          <w:rFonts w:ascii="Times New Roman" w:hAnsi="Times New Roman" w:cs="Times New Roman" w:eastAsia="Times New Roman"/>
        </w:rPr>
        <w:t>малый набор запросов (n = 15) приводит к широким доверительным интервалам; числа указывают направление, а не точную величину;</w:t>
      </w:r>
    </w:p>
    <w:p>
      <w:pPr>
        <w:pStyle w:val="ListBullet"/>
        <w:spacing w:line="360" w:lineRule="auto"/>
      </w:pPr>
      <w:r>
        <w:rPr>
          <w:rFonts w:ascii="Times New Roman" w:hAnsi="Times New Roman" w:cs="Times New Roman" w:eastAsia="Times New Roman"/>
        </w:rPr>
        <w:t>результаты получены на одном корпусе; обобщение на другие домены не проверено;</w:t>
      </w:r>
    </w:p>
    <w:p>
      <w:pPr>
        <w:pStyle w:val="ListBullet"/>
        <w:spacing w:line="360" w:lineRule="auto"/>
      </w:pPr>
      <w:r>
        <w:rPr>
          <w:rFonts w:ascii="Times New Roman" w:hAnsi="Times New Roman" w:cs="Times New Roman" w:eastAsia="Times New Roman"/>
        </w:rPr>
        <w:t>метки релевантности являются прокси (требуемые источники регрессионного набора), что может смещать оценку полноты;</w:t>
      </w:r>
    </w:p>
    <w:p>
      <w:pPr>
        <w:pStyle w:val="ListBullet"/>
        <w:spacing w:line="360" w:lineRule="auto"/>
      </w:pPr>
      <w:r>
        <w:rPr>
          <w:rFonts w:ascii="Times New Roman" w:hAnsi="Times New Roman" w:cs="Times New Roman" w:eastAsia="Times New Roman"/>
        </w:rPr>
        <w:t>в оценке индексированы 2 из 6 слоёв, меньшее число документов-дистракторов облегчает поиск относительно полного развёртывания;</w:t>
      </w:r>
    </w:p>
    <w:p>
      <w:pPr>
        <w:pStyle w:val="ListBullet"/>
        <w:spacing w:line="360" w:lineRule="auto"/>
      </w:pPr>
      <w:r>
        <w:rPr>
          <w:rFonts w:ascii="Times New Roman" w:hAnsi="Times New Roman" w:cs="Times New Roman" w:eastAsia="Times New Roman"/>
        </w:rPr>
        <w:t>recall@5 = 0.633 означает потерю около 37% релевантного в top-5; повышение полноты требует увеличения k, расширения запроса либо изменения представления, а не переранжирования;</w:t>
      </w:r>
    </w:p>
    <w:p>
      <w:pPr>
        <w:pStyle w:val="ListBullet"/>
        <w:spacing w:line="360" w:lineRule="auto"/>
      </w:pPr>
      <w:r>
        <w:rPr>
          <w:rFonts w:ascii="Times New Roman" w:hAnsi="Times New Roman" w:cs="Times New Roman" w:eastAsia="Times New Roman"/>
        </w:rPr>
        <w:t>высокая скорость индексации достигается при наличии GPU и соответствующей сборки среды, иначе действует откат на CPU;</w:t>
      </w:r>
    </w:p>
    <w:p>
      <w:pPr>
        <w:pStyle w:val="ListBullet"/>
        <w:spacing w:line="360" w:lineRule="auto"/>
      </w:pPr>
      <w:r>
        <w:rPr>
          <w:rFonts w:ascii="Times New Roman" w:hAnsi="Times New Roman" w:cs="Times New Roman" w:eastAsia="Times New Roman"/>
        </w:rPr>
        <w:t>провенанс делает рассогласование обнаружимым, но не устраняет двойственность источника истины между кодом и производными страницами.</w:t>
      </w:r>
    </w:p>
    <w:p>
      <w:pPr>
        <w:keepNext/>
        <w:spacing w:before="240" w:after="80"/>
        <w:jc w:val="left"/>
      </w:pPr>
      <w:r>
        <w:rPr>
          <w:rFonts w:ascii="Times New Roman" w:hAnsi="Times New Roman" w:cs="Times New Roman" w:eastAsia="Times New Roman"/>
          <w:b/>
          <w:sz w:val="24"/>
        </w:rPr>
        <w:t>7. Заключение</w:t>
      </w:r>
    </w:p>
    <w:p>
      <w:pPr>
        <w:spacing w:before="0" w:after="0"/>
        <w:ind w:firstLine="397"/>
        <w:jc w:val="both"/>
      </w:pPr>
      <w:r>
        <w:rPr>
          <w:rFonts w:ascii="Times New Roman" w:hAnsi="Times New Roman" w:cs="Times New Roman" w:eastAsia="Times New Roman"/>
        </w:rPr>
        <w:t>В работе подробно описана слоевая самовалидируемая архитектура базы знаний, а часто декларируемое допущение об эффективности отдельного слоя поиска переведено в измеренный факт: на реальной развёрнутой базе слоевой гибридный поисковый движок существенно превосходит лексический базлайн (recall@5 0.633 против 0.333, MRR 0.718 против 0.435). Продемонстрирован продиктованный измерениями цикл уточнения: две корректировки ранжирования (+12% MRR) и выбор стратегии чанкинга (+7.8% MRR) приняты после подтверждения данными, а оптимизации скорости (восьмикратное ускорение на GPU, батчинг) внедрены после доказанной численной эквивалентности. Архитектура вносит разделение «источник — производное» с провенансом по контент-хешам и общую для машины, разрешаемую через метку модель эмбеддингов, устраняющую дублирование по базам. Ограничения задокументированы и отображены в конкретные направления дальнейших экспериментов. Все результаты воспроизводимы прилагаемой установкой.</w:t>
      </w:r>
    </w:p>
    <w:p>
      <w:pPr>
        <w:keepNext/>
        <w:spacing w:before="240" w:after="80"/>
        <w:jc w:val="left"/>
      </w:pPr>
      <w:r>
        <w:rPr>
          <w:rFonts w:ascii="Times New Roman" w:hAnsi="Times New Roman" w:cs="Times New Roman" w:eastAsia="Times New Roman"/>
          <w:b/>
          <w:sz w:val="24"/>
        </w:rPr>
        <w:t>Список литературы</w:t>
      </w:r>
    </w:p>
    <w:p>
      <w:pPr>
        <w:ind w:left="397" w:hanging="397"/>
        <w:jc w:val="both"/>
      </w:pPr>
      <w:r>
        <w:rPr>
          <w:rFonts w:ascii="Times New Roman" w:hAnsi="Times New Roman" w:cs="Times New Roman" w:eastAsia="Times New Roman"/>
          <w:b/>
          <w:sz w:val="22"/>
        </w:rPr>
        <w:t xml:space="preserve">1. </w:t>
      </w:r>
      <w:r>
        <w:rPr>
          <w:rFonts w:ascii="Times New Roman" w:hAnsi="Times New Roman" w:cs="Times New Roman" w:eastAsia="Times New Roman"/>
          <w:sz w:val="22"/>
        </w:rPr>
        <w:t>Chase H. et al. LangChain: RecursiveCharacterTextSplitter — structure-aware text splitting. Documentation, 2023. URL: python.langchain.com.</w:t>
      </w:r>
    </w:p>
    <w:p>
      <w:pPr>
        <w:ind w:left="397" w:hanging="397"/>
        <w:jc w:val="both"/>
      </w:pPr>
      <w:r>
        <w:rPr>
          <w:rFonts w:ascii="Times New Roman" w:hAnsi="Times New Roman" w:cs="Times New Roman" w:eastAsia="Times New Roman"/>
          <w:b/>
          <w:sz w:val="22"/>
        </w:rPr>
        <w:t xml:space="preserve">2. </w:t>
      </w:r>
      <w:r>
        <w:rPr>
          <w:rFonts w:ascii="Times New Roman" w:hAnsi="Times New Roman" w:cs="Times New Roman" w:eastAsia="Times New Roman"/>
          <w:sz w:val="22"/>
        </w:rPr>
        <w:t>Gao Y. et al. Retrieval-Augmented Generation for Large Language Models: A Survey. arXiv:2312.10997, 2023.</w:t>
      </w:r>
    </w:p>
    <w:p>
      <w:pPr>
        <w:ind w:left="397" w:hanging="397"/>
        <w:jc w:val="both"/>
      </w:pPr>
      <w:r>
        <w:rPr>
          <w:rFonts w:ascii="Times New Roman" w:hAnsi="Times New Roman" w:cs="Times New Roman" w:eastAsia="Times New Roman"/>
          <w:b/>
          <w:sz w:val="22"/>
        </w:rPr>
        <w:t xml:space="preserve">3. </w:t>
      </w:r>
      <w:r>
        <w:rPr>
          <w:rFonts w:ascii="Times New Roman" w:hAnsi="Times New Roman" w:cs="Times New Roman" w:eastAsia="Times New Roman"/>
          <w:sz w:val="22"/>
        </w:rPr>
        <w:t>Johnson J., Douze M., Jégou H. Billion-scale similarity search with GPUs (FAISS) // IEEE Transactions on Big Data. 2019. arXiv:1702.08734.</w:t>
      </w:r>
    </w:p>
    <w:p>
      <w:pPr>
        <w:ind w:left="397" w:hanging="397"/>
        <w:jc w:val="both"/>
      </w:pPr>
      <w:r>
        <w:rPr>
          <w:rFonts w:ascii="Times New Roman" w:hAnsi="Times New Roman" w:cs="Times New Roman" w:eastAsia="Times New Roman"/>
          <w:b/>
          <w:sz w:val="22"/>
        </w:rPr>
        <w:t xml:space="preserve">4. </w:t>
      </w:r>
      <w:r>
        <w:rPr>
          <w:rFonts w:ascii="Times New Roman" w:hAnsi="Times New Roman" w:cs="Times New Roman" w:eastAsia="Times New Roman"/>
          <w:sz w:val="22"/>
        </w:rPr>
        <w:t>Karpukhin V. et al. Dense Passage Retrieval for Open-Domain Question Answering // EMNLP. 2020. arXiv:2004.04906.</w:t>
      </w:r>
    </w:p>
    <w:p>
      <w:pPr>
        <w:ind w:left="397" w:hanging="397"/>
        <w:jc w:val="both"/>
      </w:pPr>
      <w:r>
        <w:rPr>
          <w:rFonts w:ascii="Times New Roman" w:hAnsi="Times New Roman" w:cs="Times New Roman" w:eastAsia="Times New Roman"/>
          <w:b/>
          <w:sz w:val="22"/>
        </w:rPr>
        <w:t xml:space="preserve">5. </w:t>
      </w:r>
      <w:r>
        <w:rPr>
          <w:rFonts w:ascii="Times New Roman" w:hAnsi="Times New Roman" w:cs="Times New Roman" w:eastAsia="Times New Roman"/>
          <w:sz w:val="22"/>
        </w:rPr>
        <w:t>Lewis P. et al. Retrieval-Augmented Generation for Knowledge-Intensive NLP Tasks // NeurIPS. 2020. arXiv:2005.11401.</w:t>
      </w:r>
    </w:p>
    <w:p>
      <w:pPr>
        <w:ind w:left="397" w:hanging="397"/>
        <w:jc w:val="both"/>
      </w:pPr>
      <w:r>
        <w:rPr>
          <w:rFonts w:ascii="Times New Roman" w:hAnsi="Times New Roman" w:cs="Times New Roman" w:eastAsia="Times New Roman"/>
          <w:b/>
          <w:sz w:val="22"/>
        </w:rPr>
        <w:t xml:space="preserve">6. </w:t>
      </w:r>
      <w:r>
        <w:rPr>
          <w:rFonts w:ascii="Times New Roman" w:hAnsi="Times New Roman" w:cs="Times New Roman" w:eastAsia="Times New Roman"/>
          <w:sz w:val="22"/>
        </w:rPr>
        <w:t>Manning C. D., Raghavan P., Schütze H. Introduction to Information Retrieval. Cambridge University Press, 2008. 482 p.</w:t>
      </w:r>
    </w:p>
    <w:p>
      <w:pPr>
        <w:ind w:left="397" w:hanging="397"/>
        <w:jc w:val="both"/>
      </w:pPr>
      <w:r>
        <w:rPr>
          <w:rFonts w:ascii="Times New Roman" w:hAnsi="Times New Roman" w:cs="Times New Roman" w:eastAsia="Times New Roman"/>
          <w:b/>
          <w:sz w:val="22"/>
        </w:rPr>
        <w:t xml:space="preserve">7. </w:t>
      </w:r>
      <w:r>
        <w:rPr>
          <w:rFonts w:ascii="Times New Roman" w:hAnsi="Times New Roman" w:cs="Times New Roman" w:eastAsia="Times New Roman"/>
          <w:sz w:val="22"/>
        </w:rPr>
        <w:t>Järvelin K., Kekäläinen J. Cumulated Gain-based Evaluation of IR Techniques // ACM TOIS. 2002. Vol. 20, № 4. P. 422–446.</w:t>
      </w:r>
    </w:p>
    <w:p>
      <w:pPr>
        <w:ind w:left="397" w:hanging="397"/>
        <w:jc w:val="both"/>
      </w:pPr>
      <w:r>
        <w:rPr>
          <w:rFonts w:ascii="Times New Roman" w:hAnsi="Times New Roman" w:cs="Times New Roman" w:eastAsia="Times New Roman"/>
          <w:b/>
          <w:sz w:val="22"/>
        </w:rPr>
        <w:t xml:space="preserve">8. </w:t>
      </w:r>
      <w:r>
        <w:rPr>
          <w:rFonts w:ascii="Times New Roman" w:hAnsi="Times New Roman" w:cs="Times New Roman" w:eastAsia="Times New Roman"/>
          <w:sz w:val="22"/>
        </w:rPr>
        <w:t>Sturua S. et al. jina-embeddings-v3: Multilingual Embeddings with Task LoRA. arXiv:2409.10173, 2024.</w:t>
      </w:r>
    </w:p>
    <w:p>
      <w:pPr>
        <w:ind w:left="397" w:hanging="397"/>
        <w:jc w:val="both"/>
      </w:pPr>
      <w:r>
        <w:rPr>
          <w:rFonts w:ascii="Times New Roman" w:hAnsi="Times New Roman" w:cs="Times New Roman" w:eastAsia="Times New Roman"/>
          <w:b/>
          <w:sz w:val="22"/>
        </w:rPr>
        <w:t xml:space="preserve">9. </w:t>
      </w:r>
      <w:r>
        <w:rPr>
          <w:rFonts w:ascii="Times New Roman" w:hAnsi="Times New Roman" w:cs="Times New Roman" w:eastAsia="Times New Roman"/>
          <w:sz w:val="22"/>
        </w:rPr>
        <w:t>Microsoft. ONNX Runtime Execution Providers: DirectML. Documentation, 2023. URL: onnxruntime.ai/docs/execution-providers.</w:t>
      </w:r>
    </w:p>
    <w:p>
      <w:pPr>
        <w:ind w:left="397" w:hanging="397"/>
        <w:jc w:val="both"/>
      </w:pPr>
      <w:r>
        <w:rPr>
          <w:rFonts w:ascii="Times New Roman" w:hAnsi="Times New Roman" w:cs="Times New Roman" w:eastAsia="Times New Roman"/>
          <w:b/>
          <w:sz w:val="22"/>
        </w:rPr>
        <w:t xml:space="preserve">10. </w:t>
      </w:r>
      <w:r>
        <w:rPr>
          <w:rFonts w:ascii="Times New Roman" w:hAnsi="Times New Roman" w:cs="Times New Roman" w:eastAsia="Times New Roman"/>
          <w:sz w:val="22"/>
        </w:rPr>
        <w:t>Hugging Face. Transformers.js — ONNX-runtime inference in JavaScript. 2023. URL: github.com/huggingface/transformers.js.</w:t>
      </w:r>
    </w:p>
    <w:sectPr w:rsidR="00FC693F" w:rsidRPr="0006063C" w:rsidSect="00034616"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cs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