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360"/>
        <w:jc w:val="left"/>
      </w:pPr>
      <w:r>
        <w:rPr>
          <w:rFonts w:ascii="Times New Roman" w:cs="Times New Roman" w:eastAsia="Times New Roman" w:hAnsi="Times New Roman"/>
          <w:i/>
          <w:iCs/>
          <w:sz w:val="22"/>
          <w:szCs w:val="22"/>
        </w:rPr>
        <w:t xml:space="preserve">В редакцию журнала «Искусственный интеллект и принятие решений»</w:t>
      </w:r>
    </w:p>
    <w:p>
      <w:pPr>
        <w:spacing w:after="40" w:line="360"/>
        <w:jc w:val="left"/>
      </w:pPr>
      <w:r>
        <w:rPr>
          <w:rFonts w:ascii="Times New Roman" w:cs="Times New Roman" w:eastAsia="Times New Roman" w:hAnsi="Times New Roman"/>
          <w:sz w:val="20"/>
          <w:szCs w:val="20"/>
        </w:rPr>
        <w:t xml:space="preserve">ФИЦ «Информатика и управление» РАН · научная специальность 1.2.1</w:t>
      </w:r>
    </w:p>
    <w:p>
      <w:pPr>
        <w:spacing w:after="40" w:line="360"/>
        <w:jc w:val="left"/>
      </w:pPr>
      <w:r>
        <w:rPr>
          <w:rFonts w:ascii="Times New Roman" w:cs="Times New Roman" w:eastAsia="Times New Roman" w:hAnsi="Times New Roman"/>
          <w:sz w:val="20"/>
          <w:szCs w:val="20"/>
        </w:rPr>
        <w:t xml:space="preserve">УДК 004.222</w:t>
      </w:r>
    </w:p>
    <w:p>
      <w:pPr>
        <w:pBdr>
          <w:bottom w:val="single" w:color="000000" w:sz="6" w:space="1"/>
        </w:pBdr>
        <w:spacing w:after="120" w:before="120"/>
      </w:pPr>
      <w:r>
        <w:rPr>
          <w:sz w:val="2"/>
          <w:szCs w:val="2"/>
        </w:rPr>
        <w:t xml:space="preserve"/>
      </w:r>
    </w:p>
    <w:p>
      <w:pPr>
        <w:spacing w:after="80" w:before="200"/>
        <w:jc w:val="center"/>
      </w:pPr>
      <w:r>
        <w:rPr>
          <w:rFonts w:ascii="Times New Roman" w:cs="Times New Roman" w:eastAsia="Times New Roman" w:hAnsi="Times New Roman"/>
          <w:b/>
          <w:bCs/>
          <w:sz w:val="32"/>
          <w:szCs w:val="32"/>
        </w:rPr>
        <w:t xml:space="preserve">Каталог из 83 численных форматов с битоточными векторами соответствия:</w:t>
      </w:r>
    </w:p>
    <w:p>
      <w:pPr>
        <w:spacing w:after="240"/>
        <w:jc w:val="center"/>
      </w:pPr>
      <w:r>
        <w:rPr>
          <w:rFonts w:ascii="Times New Roman" w:cs="Times New Roman" w:eastAsia="Times New Roman" w:hAnsi="Times New Roman"/>
          <w:b/>
          <w:bCs/>
          <w:sz w:val="30"/>
          <w:szCs w:val="30"/>
        </w:rPr>
        <w:t xml:space="preserve">вендор-нейтральный справочник для FP8, BF16, MXFP4 и микромасштабируемых форматов</w:t>
      </w:r>
    </w:p>
    <w:p>
      <w:pPr>
        <w:spacing w:after="40"/>
        <w:jc w:val="center"/>
      </w:pPr>
      <w:r>
        <w:rPr>
          <w:rFonts w:ascii="Times New Roman" w:cs="Times New Roman" w:eastAsia="Times New Roman" w:hAnsi="Times New Roman"/>
          <w:b/>
          <w:bCs/>
          <w:sz w:val="26"/>
          <w:szCs w:val="26"/>
        </w:rPr>
        <w:t xml:space="preserve">Дмитрий Васильев (Dmitrii Vasilev)</w:t>
      </w:r>
    </w:p>
    <w:p>
      <w:pPr>
        <w:spacing w:after="40"/>
        <w:jc w:val="center"/>
      </w:pPr>
      <w:r>
        <w:rPr>
          <w:rFonts w:ascii="Times New Roman" w:cs="Times New Roman" w:eastAsia="Times New Roman" w:hAnsi="Times New Roman"/>
          <w:i/>
          <w:iCs/>
          <w:sz w:val="22"/>
          <w:szCs w:val="22"/>
        </w:rPr>
        <w:t xml:space="preserve">Независимый исследователь, Trinity S³AI</w:t>
      </w:r>
    </w:p>
    <w:p>
      <w:pPr>
        <w:spacing w:after="40"/>
        <w:jc w:val="center"/>
      </w:pPr>
      <w:r>
        <w:rPr>
          <w:rFonts w:ascii="Times New Roman" w:cs="Times New Roman" w:eastAsia="Times New Roman" w:hAnsi="Times New Roman"/>
          <w:sz w:val="22"/>
          <w:szCs w:val="22"/>
        </w:rPr>
        <w:t xml:space="preserve">Контакт: </w:t>
      </w:r>
      <w:r>
        <w:rPr>
          <w:rFonts w:ascii="Consolas" w:cs="Consolas" w:eastAsia="Consolas" w:hAnsi="Consolas"/>
          <w:sz w:val="20"/>
          <w:szCs w:val="20"/>
        </w:rPr>
        <w:t xml:space="preserve">admin@t27.ai</w:t>
      </w:r>
      <w:r>
        <w:rPr>
          <w:rFonts w:ascii="Times New Roman" w:cs="Times New Roman" w:eastAsia="Times New Roman" w:hAnsi="Times New Roman"/>
          <w:sz w:val="22"/>
          <w:szCs w:val="22"/>
        </w:rPr>
        <w:t xml:space="preserve">   ·   GitHub: </w:t>
      </w:r>
      <w:r>
        <w:rPr>
          <w:rFonts w:ascii="Consolas" w:cs="Consolas" w:eastAsia="Consolas" w:hAnsi="Consolas"/>
          <w:sz w:val="20"/>
          <w:szCs w:val="20"/>
        </w:rPr>
        <w:t xml:space="preserve">github.com/gHashTag</w:t>
      </w:r>
    </w:p>
    <w:p>
      <w:pPr>
        <w:spacing w:after="40"/>
        <w:jc w:val="center"/>
      </w:pPr>
      <w:r>
        <w:rPr>
          <w:rFonts w:ascii="Times New Roman" w:cs="Times New Roman" w:eastAsia="Times New Roman" w:hAnsi="Times New Roman"/>
          <w:sz w:val="22"/>
          <w:szCs w:val="22"/>
        </w:rPr>
        <w:t xml:space="preserve">ORCID: </w:t>
      </w:r>
      <w:hyperlink w:history="1" r:id="rIddhgatktl6tapourjrac6t">
        <w:r>
          <w:rPr>
            <w:rStyle w:val="Hyperlink"/>
            <w:rFonts w:ascii="Consolas" w:cs="Consolas" w:eastAsia="Consolas" w:hAnsi="Consolas"/>
            <w:sz w:val="20"/>
            <w:szCs w:val="20"/>
          </w:rPr>
          <w:t xml:space="preserve">0009-0008-4294-6159</w:t>
        </w:r>
      </w:hyperlink>
    </w:p>
    <w:p>
      <w:pPr>
        <w:spacing w:after="240"/>
        <w:jc w:val="center"/>
      </w:pPr>
      <w:r>
        <w:rPr>
          <w:rFonts w:ascii="Times New Roman" w:cs="Times New Roman" w:eastAsia="Times New Roman" w:hAnsi="Times New Roman"/>
          <w:i/>
          <w:iCs/>
          <w:sz w:val="20"/>
          <w:szCs w:val="20"/>
        </w:rPr>
        <w:t xml:space="preserve">Препринт v4 · 8 июня 2026 г.</w:t>
      </w:r>
    </w:p>
    <w:p>
      <w:pPr>
        <w:spacing w:after="100" w:before="120"/>
        <w:jc w:val="center"/>
      </w:pPr>
      <w:r>
        <w:rPr>
          <w:rFonts w:ascii="Times New Roman" w:cs="Times New Roman" w:eastAsia="Times New Roman" w:hAnsi="Times New Roman"/>
          <w:b/>
          <w:bCs/>
          <w:sz w:val="24"/>
          <w:szCs w:val="24"/>
        </w:rPr>
        <w:t xml:space="preserve">АННОТАЦИЯ</w:t>
      </w:r>
    </w:p>
    <w:p>
      <w:pPr>
        <w:spacing w:after="120" w:line="360"/>
        <w:ind w:firstLine="283"/>
        <w:jc w:val="both"/>
      </w:pPr>
      <w:r>
        <w:rPr>
          <w:rFonts w:ascii="Times New Roman" w:cs="Times New Roman" w:eastAsia="Times New Roman" w:hAnsi="Times New Roman"/>
          <w:sz w:val="22"/>
          <w:szCs w:val="22"/>
        </w:rPr>
        <w:t xml:space="preserve">Распространение численных форматов в аппаратном обеспечении для машинного обучения — FP8 (E4M3 и E5M2), BF16, MXFP4, блочные микромасштабируемые форматы и десятки исследовательских вариантов — опередило доступность вендор-нейтральных битоточных справочных материалов. Инженеры, переносящие модели между ускорителями, сталкиваются с незаметными расхождениями, которые трудно диагностировать без общей измерительной линейки.</w:t>
      </w:r>
    </w:p>
    <w:p>
      <w:pPr>
        <w:spacing w:after="120" w:line="360"/>
        <w:ind w:firstLine="283"/>
        <w:jc w:val="both"/>
      </w:pPr>
      <w:r>
        <w:rPr>
          <w:rFonts w:ascii="Times New Roman" w:cs="Times New Roman" w:eastAsia="Times New Roman" w:hAnsi="Times New Roman"/>
          <w:sz w:val="22"/>
          <w:szCs w:val="22"/>
        </w:rPr>
        <w:t xml:space="preserve">В настоящей статье описаны: каталог из 83 численных форматов, охватывающий 13 семейств; набор из шести битоточных пакетов соответствия (conformance packs) для GF16, элемента MXFP4, BF16, FP8 E4M3, FP8 E5M2 и блочного масштаба E8M0; а также кросс-уолк к IEEE P3109 v3.2.0, сопоставляющий каждый пакет с соответствующей конфигурируемой формой стандарта. Каждый пакет представляет собой самодостаточный документ JSON с отпечатком SHA-256, общей схемой строк и якорным вектором, кодирующим значение 3,0 —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 в качестве межпакетной проверки корректности. Пакеты перекрёстно проверяются относительно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0.5.4 (Google/JAX); любое расхождение документируется явно и интерпретируется как разрешённый спецификацией интерпретационный разрыв, а не скрывается. Работа позиционируется как заполнение реестра: она не предлагает новых форматов, не делает утверждений о точности моделей и не заявляет о превосходстве над какой-либо вендорской реализацией. Все артефакты публично доступны по адресу </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под открытой лицензией.</w:t>
      </w:r>
    </w:p>
    <w:p>
      <w:pPr>
        <w:spacing w:after="120" w:line="360"/>
        <w:ind w:firstLine="283"/>
        <w:jc w:val="both"/>
      </w:pPr>
      <w:r>
        <w:rPr>
          <w:rFonts w:ascii="Times New Roman" w:cs="Times New Roman" w:eastAsia="Times New Roman" w:hAnsi="Times New Roman"/>
          <w:b/>
          <w:bCs/>
          <w:sz w:val="22"/>
          <w:szCs w:val="22"/>
        </w:rPr>
        <w:t xml:space="preserve">Ключевые слова: </w:t>
      </w:r>
      <w:r>
        <w:rPr>
          <w:rFonts w:ascii="Times New Roman" w:cs="Times New Roman" w:eastAsia="Times New Roman" w:hAnsi="Times New Roman"/>
          <w:sz w:val="22"/>
          <w:szCs w:val="22"/>
        </w:rPr>
        <w:t xml:space="preserve">численные форматы, форматы с плавающей точкой, conformance, IEEE P3109, золотое сечение, машинное обучение, битоточные векторы, микромасштабирование, FP8, BF16, MXFP4.</w:t>
      </w:r>
    </w:p>
    <w:p>
      <w:pPr>
        <w:spacing w:after="80" w:before="200"/>
        <w:jc w:val="center"/>
      </w:pPr>
      <w:r>
        <w:rPr>
          <w:rFonts w:ascii="Times New Roman" w:cs="Times New Roman" w:eastAsia="Times New Roman" w:hAnsi="Times New Roman"/>
          <w:b/>
          <w:bCs/>
          <w:sz w:val="28"/>
          <w:szCs w:val="28"/>
        </w:rPr>
        <w:t xml:space="preserve">An 83-format numeric catalog with bit-exact conformance vectors:</w:t>
      </w:r>
    </w:p>
    <w:p>
      <w:pPr>
        <w:spacing w:after="160"/>
        <w:jc w:val="center"/>
      </w:pPr>
      <w:r>
        <w:rPr>
          <w:rFonts w:ascii="Times New Roman" w:cs="Times New Roman" w:eastAsia="Times New Roman" w:hAnsi="Times New Roman"/>
          <w:b/>
          <w:bCs/>
          <w:sz w:val="26"/>
          <w:szCs w:val="26"/>
        </w:rPr>
        <w:t xml:space="preserve">a vendor-neutral reference for FP8, BF16, MXFP4 and microscaling formats</w:t>
      </w:r>
    </w:p>
    <w:p>
      <w:pPr>
        <w:spacing w:after="40"/>
        <w:jc w:val="center"/>
      </w:pPr>
      <w:r>
        <w:rPr>
          <w:rFonts w:ascii="Times New Roman" w:cs="Times New Roman" w:eastAsia="Times New Roman" w:hAnsi="Times New Roman"/>
          <w:b/>
          <w:bCs/>
          <w:sz w:val="24"/>
          <w:szCs w:val="24"/>
        </w:rPr>
        <w:t xml:space="preserve">Dmitrii Vasilev</w:t>
      </w:r>
    </w:p>
    <w:p>
      <w:pPr>
        <w:spacing w:after="160"/>
        <w:jc w:val="center"/>
      </w:pPr>
      <w:r>
        <w:rPr>
          <w:rFonts w:ascii="Times New Roman" w:cs="Times New Roman" w:eastAsia="Times New Roman" w:hAnsi="Times New Roman"/>
          <w:i/>
          <w:iCs/>
          <w:sz w:val="20"/>
          <w:szCs w:val="20"/>
        </w:rPr>
        <w:t xml:space="preserve">Independent researcher, Trinity S³AI · ORCID 0009-0008-4294-6159</w:t>
      </w:r>
    </w:p>
    <w:p>
      <w:pPr>
        <w:spacing w:after="80" w:before="80"/>
        <w:jc w:val="center"/>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sz w:val="22"/>
          <w:szCs w:val="22"/>
        </w:rPr>
        <w:t xml:space="preserve">The proliferation of numeric formats in machine-learning hardware — FP8 (E4M3 and E5M2), BF16, MXFP4, block microscaling formats and dozens of research variants — has outpaced the availability of vendor-neutral, bit-exact reference material. This paper presents: a catalog of 83 numeric formats spanning 13 families; a set of six bit-exact conformance packs for GF16, the MXFP4 element, BF16, FP8 E4M3, FP8 E5M2 and the E8M0 block scale; and a crosswalk to IEEE P3109 v3.2.0 mapping each pack to its configurable form of the standard. Every pack is a self-contained JSON document with a SHA-256 fingerprint, a shared row schema and an anchor vector encoding the value 3.0 — the identity phi^2 + 1/phi^2 = 3 — as a cross-pack correctness check. Packs are cross-checked against ml_dtypes 0.5.4 (Google/JAX); any discrepancy is documented explicitly and interpreted as a specification-permitted interpretive gap rather than hidden. The work is positioned as registry-filling: it proposes no new formats, makes no model-accuracy claim and asserts no superiority over any vendor implementation. All artefacts are publicly available at github.com/gHashTag/t27 under an open license.</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numeric formats, floating point, conformance, IEEE P3109, golden ratio, machine learning, bit-exact vectors, microscaling, FP8, BF16, MXFP4.</w:t>
      </w:r>
    </w:p>
    <w:p>
      <w:pPr>
        <w:pBdr>
          <w:bottom w:val="single" w:color="000000" w:sz="6" w:space="1"/>
        </w:pBdr>
        <w:spacing w:after="120" w:before="120"/>
      </w:pPr>
      <w:r>
        <w:rPr>
          <w:sz w:val="2"/>
          <w:szCs w:val="2"/>
        </w:rPr>
        <w:t xml:space="preserve"/>
      </w:r>
    </w:p>
    <w:p>
      <w:pPr>
        <w:spacing w:after="120" w:line="360"/>
        <w:jc w:val="both"/>
      </w:pPr>
      <w:r>
        <w:rPr>
          <w:rFonts w:ascii="Times New Roman" w:cs="Times New Roman" w:eastAsia="Times New Roman" w:hAnsi="Times New Roman"/>
          <w:b/>
          <w:bCs/>
          <w:sz w:val="20"/>
          <w:szCs w:val="20"/>
        </w:rPr>
        <w:t xml:space="preserve">Сведения для редакции. </w:t>
      </w:r>
      <w:r>
        <w:rPr>
          <w:rFonts w:ascii="Times New Roman" w:cs="Times New Roman" w:eastAsia="Times New Roman" w:hAnsi="Times New Roman"/>
          <w:sz w:val="20"/>
          <w:szCs w:val="20"/>
        </w:rPr>
        <w:t xml:space="preserve">Статья оригинальна, ранее не публиковалась и не подавалась в другие издания. Конфликт интересов отсутствует, внешнее финансирование не привлекалось. Рукопись оформлена единым файлом MS Word (.docx) и содержит русско- и англоязычные версии названия, сведений об авторе, аннотации и ключевых слов; текст чёрно-белый, формат А4. По требованию редакции автор готов предоставить лицензионный договор (скан) и экспертное заключение о возможности открытого опубликования. Тема письма при подаче: «ИИПР Васильев». Контактная эл. почта: admin@t27.ai.</w:t>
      </w:r>
    </w:p>
    <w:p>
      <w:pPr>
        <w:pStyle w:val="Heading1"/>
        <w:spacing w:after="140" w:before="280"/>
      </w:pPr>
      <w:r>
        <w:rPr>
          <w:rFonts w:ascii="Times New Roman" w:cs="Times New Roman" w:eastAsia="Times New Roman" w:hAnsi="Times New Roman"/>
          <w:b/>
          <w:bCs/>
          <w:color w:val="000000"/>
          <w:sz w:val="30"/>
          <w:szCs w:val="30"/>
        </w:rPr>
        <w:t xml:space="preserve">1. Введение</w:t>
      </w:r>
    </w:p>
    <w:p>
      <w:pPr>
        <w:spacing w:after="120" w:line="360"/>
        <w:ind w:firstLine="283"/>
        <w:jc w:val="both"/>
      </w:pPr>
      <w:r>
        <w:rPr>
          <w:rFonts w:ascii="Times New Roman" w:cs="Times New Roman" w:eastAsia="Times New Roman" w:hAnsi="Times New Roman"/>
          <w:sz w:val="22"/>
          <w:szCs w:val="22"/>
        </w:rPr>
        <w:t xml:space="preserve">Представьте себе механика, которому нужно подогнать деталь под спецификацию токарного станка, но линейка в его руках использует единицы, слегка отличающиеся от тех, что указаны на чертеже. Деталь может выглядеть правильной; расхождение проявляется только под нагрузкой. Тот же сценарий разыгрывается в прошивках ML-ускорителей: два чипа могут одновременно заявлять о «поддержке FP8 E4M3», однако незаметно различаться в обработке случая переполнения для входного значения вроде 1000,0 — один насыщается до максимального конечного значения 448,0, другой переходит в NaN. Спецификация OCP Microscaling допускает оба варианта. Без общего битоточного эталона перенесённая модель может выдавать численно различающиеся результаты, которые трудно локализовать.</w:t>
      </w:r>
    </w:p>
    <w:p>
      <w:pPr>
        <w:spacing w:after="120" w:line="360"/>
        <w:ind w:firstLine="283"/>
        <w:jc w:val="both"/>
      </w:pPr>
      <w:r>
        <w:rPr>
          <w:rFonts w:ascii="Times New Roman" w:cs="Times New Roman" w:eastAsia="Times New Roman" w:hAnsi="Times New Roman"/>
          <w:sz w:val="22"/>
          <w:szCs w:val="22"/>
        </w:rPr>
        <w:t xml:space="preserve">В настоящей статье описаны два артефакта, призванные служить такой общей линейкой.</w:t>
      </w:r>
    </w:p>
    <w:p>
      <w:pPr>
        <w:spacing w:after="120" w:line="360"/>
        <w:ind w:firstLine="283"/>
        <w:jc w:val="both"/>
      </w:pPr>
      <w:r>
        <w:rPr>
          <w:rFonts w:ascii="Times New Roman" w:cs="Times New Roman" w:eastAsia="Times New Roman" w:hAnsi="Times New Roman"/>
          <w:b/>
          <w:bCs/>
          <w:sz w:val="22"/>
          <w:szCs w:val="22"/>
        </w:rPr>
        <w:t xml:space="preserve">Вклад 1: каталог из 83 численных форматов. </w:t>
      </w:r>
      <w:r>
        <w:rPr>
          <w:rFonts w:ascii="Times New Roman" w:cs="Times New Roman" w:eastAsia="Times New Roman" w:hAnsi="Times New Roman"/>
          <w:sz w:val="22"/>
          <w:szCs w:val="22"/>
        </w:rPr>
        <w:t xml:space="preserve">Каталог </w:t>
      </w:r>
      <w:r>
        <w:rPr>
          <w:rFonts w:ascii="Consolas" w:cs="Consolas" w:eastAsia="Consolas" w:hAnsi="Consolas"/>
          <w:sz w:val="22"/>
          <w:szCs w:val="22"/>
        </w:rPr>
        <w:t xml:space="preserve">t27</w:t>
      </w:r>
      <w:r>
        <w:rPr>
          <w:rFonts w:ascii="Times New Roman" w:cs="Times New Roman" w:eastAsia="Times New Roman" w:hAnsi="Times New Roman"/>
          <w:sz w:val="22"/>
          <w:szCs w:val="22"/>
        </w:rPr>
        <w:t xml:space="preserve"> перечисляет 83 численных формата в 13 семействах (раздел 3). Каждая запись несёт единообразную схему: разрядную раскладку, смещение порядка (bias), политику бесконечности/NaN, политику насыщения, максимальное конечное значение, минимальное нормальное значение, минимальное субнормальное число и метку статуса утверждения (Verified / Empirical_fit / Open_conjecture / Risk / Retracted). Каталог хранится как единый источник истины и кросс-компилируется в Markdown, JSON, Python, Rust, C и TypeScript посредством шаблонного инструмента.</w:t>
      </w:r>
    </w:p>
    <w:p>
      <w:pPr>
        <w:spacing w:after="120" w:line="360"/>
        <w:ind w:firstLine="283"/>
        <w:jc w:val="both"/>
      </w:pPr>
      <w:r>
        <w:rPr>
          <w:rFonts w:ascii="Times New Roman" w:cs="Times New Roman" w:eastAsia="Times New Roman" w:hAnsi="Times New Roman"/>
          <w:b/>
          <w:bCs/>
          <w:sz w:val="22"/>
          <w:szCs w:val="22"/>
        </w:rPr>
        <w:t xml:space="preserve">Вклад 2: шесть битоточных пакетов соответствия. </w:t>
      </w:r>
      <w:r>
        <w:rPr>
          <w:rFonts w:ascii="Times New Roman" w:cs="Times New Roman" w:eastAsia="Times New Roman" w:hAnsi="Times New Roman"/>
          <w:sz w:val="22"/>
          <w:szCs w:val="22"/>
        </w:rPr>
        <w:t xml:space="preserve">Пакеты (раздел 5) охватывают шесть форматов, наиболее часто встречающихся в современном промышленном аппаратном обеспечении и исследовательских конвейерах: GoldenFloat 16 (GF16), элемент MXFP4, BF16, FP8 E4M3, FP8 E5M2 и блочный масштаб E8M0. Два пакета (GF16 и MXFP4) уже доступны в PyPI-пакете </w:t>
      </w:r>
      <w:r>
        <w:rPr>
          <w:rFonts w:ascii="Consolas" w:cs="Consolas" w:eastAsia="Consolas" w:hAnsi="Consolas"/>
          <w:sz w:val="22"/>
          <w:szCs w:val="22"/>
        </w:rPr>
        <w:t xml:space="preserve">tt-lang-t27</w:t>
      </w:r>
      <w:r>
        <w:rPr>
          <w:rFonts w:ascii="Times New Roman" w:cs="Times New Roman" w:eastAsia="Times New Roman" w:hAnsi="Times New Roman"/>
          <w:sz w:val="22"/>
          <w:szCs w:val="22"/>
        </w:rPr>
        <w:t xml:space="preserve"> v0.3.1; остальные четыре представлены в текущем предварительном выпуске, доступном по адресу </w:t>
      </w:r>
      <w:r>
        <w:rPr>
          <w:rFonts w:ascii="Consolas" w:cs="Consolas" w:eastAsia="Consolas" w:hAnsi="Consolas"/>
          <w:sz w:val="22"/>
          <w:szCs w:val="22"/>
        </w:rPr>
        <w:t xml:space="preserve">github.com/gHashTag/tt-lang-t27/pull/6</w:t>
      </w:r>
      <w:r>
        <w:rPr>
          <w:rFonts w:ascii="Times New Roman" w:cs="Times New Roman" w:eastAsia="Times New Roman" w:hAnsi="Times New Roman"/>
          <w:sz w:val="22"/>
          <w:szCs w:val="22"/>
        </w:rPr>
        <w:t xml:space="preserve">.</w:t>
      </w:r>
    </w:p>
    <w:p>
      <w:pPr>
        <w:spacing w:after="120" w:line="360"/>
        <w:ind w:firstLine="283"/>
        <w:jc w:val="both"/>
      </w:pPr>
      <w:r>
        <w:rPr>
          <w:rFonts w:ascii="Times New Roman" w:cs="Times New Roman" w:eastAsia="Times New Roman" w:hAnsi="Times New Roman"/>
          <w:b/>
          <w:bCs/>
          <w:sz w:val="22"/>
          <w:szCs w:val="22"/>
        </w:rPr>
        <w:t xml:space="preserve">Чем эта статья не является. </w:t>
      </w:r>
      <w:r>
        <w:rPr>
          <w:rFonts w:ascii="Times New Roman" w:cs="Times New Roman" w:eastAsia="Times New Roman" w:hAnsi="Times New Roman"/>
          <w:sz w:val="22"/>
          <w:szCs w:val="22"/>
        </w:rPr>
        <w:t xml:space="preserve">В работе не приводятся бенчмарки точности моделей, не предлагаются новые форматы и не проводятся сравнения производительности между вендорами. Читателям, которым нужен анализ пропускной способности FLOP или результаты по точности квантования, следует обратиться к отдельной литературе.</w:t>
      </w:r>
    </w:p>
    <w:p>
      <w:pPr>
        <w:spacing w:after="120" w:line="360"/>
        <w:ind w:firstLine="283"/>
        <w:jc w:val="both"/>
      </w:pPr>
      <w:r>
        <w:rPr>
          <w:rFonts w:ascii="Times New Roman" w:cs="Times New Roman" w:eastAsia="Times New Roman" w:hAnsi="Times New Roman"/>
          <w:b/>
          <w:bCs/>
          <w:sz w:val="22"/>
          <w:szCs w:val="22"/>
        </w:rPr>
        <w:t xml:space="preserve">Структура статьи. </w:t>
      </w:r>
      <w:r>
        <w:rPr>
          <w:rFonts w:ascii="Times New Roman" w:cs="Times New Roman" w:eastAsia="Times New Roman" w:hAnsi="Times New Roman"/>
          <w:sz w:val="22"/>
          <w:szCs w:val="22"/>
        </w:rPr>
        <w:t xml:space="preserve">Раздел 2 рассматривает соответствующий ландшафт стандартов. Раздел 3 описывает устройство каталога. Раздел 4 определяет методологию пакетов соответствия. Раздел 5 поочерёдно представляет каждый из шести пакетов. Раздел 6 предоставляет кросс-уолк к IEEE P3109. Раздел 7 обсуждает интерпретационный разрыв как проектную особенность. Раздел 8 охватывает воспроизводимость и происхождение. Раздел 9 намечает будущую работу. Раздел 10 формулирует ограничения.</w:t>
      </w:r>
    </w:p>
    <w:p>
      <w:pPr>
        <w:spacing w:after="120" w:line="360"/>
        <w:ind w:firstLine="283"/>
        <w:jc w:val="both"/>
      </w:pPr>
      <w:r>
        <w:rPr>
          <w:rFonts w:ascii="Times New Roman" w:cs="Times New Roman" w:eastAsia="Times New Roman" w:hAnsi="Times New Roman"/>
          <w:b/>
          <w:bCs/>
          <w:sz w:val="22"/>
          <w:szCs w:val="22"/>
        </w:rPr>
        <w:t xml:space="preserve">Историческая преемственность. </w:t>
      </w:r>
      <w:r>
        <w:rPr>
          <w:rFonts w:ascii="Times New Roman" w:cs="Times New Roman" w:eastAsia="Times New Roman" w:hAnsi="Times New Roman"/>
          <w:sz w:val="22"/>
          <w:szCs w:val="22"/>
        </w:rPr>
        <w:t xml:space="preserve">Один из шести пакетов соответствия — GoldenFloat 16 (GF16) — относится к отечественной линии исследований оригинальных систем представления чисел, начатой троичной ЭВМ «Сетунь» под руководством Н. П. Брусенцова (Вычислительный центр МГУ, 1958) — первой в мире машиной на симметричном троичном коде (−1, 0, +1), а в «Сетунь-70» (1970) — с введённым троичным форматом «трайт» и оптимизированным диапазоном мантиссы нормализованного числа. По доступным открытым источникам, GF16 — один из первых именованных числовых форматов российского авторства, доведённых до уровня публикации и аппаратной реализации (FPGA).</w:t>
      </w:r>
    </w:p>
    <w:p>
      <w:pPr>
        <w:pStyle w:val="Heading1"/>
        <w:spacing w:after="140" w:before="280"/>
      </w:pPr>
      <w:r>
        <w:rPr>
          <w:rFonts w:ascii="Times New Roman" w:cs="Times New Roman" w:eastAsia="Times New Roman" w:hAnsi="Times New Roman"/>
          <w:b/>
          <w:bCs/>
          <w:color w:val="000000"/>
          <w:sz w:val="30"/>
          <w:szCs w:val="30"/>
        </w:rPr>
        <w:t xml:space="preserve">2. Предпосылки и предшествующие работы</w:t>
      </w:r>
    </w:p>
    <w:p>
      <w:pPr>
        <w:spacing w:after="120" w:line="360"/>
        <w:ind w:firstLine="283"/>
        <w:jc w:val="both"/>
      </w:pPr>
      <w:r>
        <w:rPr>
          <w:rFonts w:ascii="Times New Roman" w:cs="Times New Roman" w:eastAsia="Times New Roman" w:hAnsi="Times New Roman"/>
          <w:sz w:val="22"/>
          <w:szCs w:val="22"/>
        </w:rPr>
        <w:t xml:space="preserve">Распространение низкоточных форматов с плавающей точкой в аппаратном обеспечении для машинного обучения было охарактеризовано — ещё в популярном эссе 2017 года — как «дикий запад компьютерной арифметики». Почти десятилетие спустя ландшафт стал богаче (больше вендоров, больше блочных форматов, больше исследовательских вариантов), однако вендор-нейтральные битоточные справочные материалы не поспевают за ним.</w:t>
      </w:r>
    </w:p>
    <w:p>
      <w:pPr>
        <w:pStyle w:val="Heading2"/>
        <w:spacing w:after="110" w:before="220"/>
      </w:pPr>
      <w:r>
        <w:rPr>
          <w:rFonts w:ascii="Times New Roman" w:cs="Times New Roman" w:eastAsia="Times New Roman" w:hAnsi="Times New Roman"/>
          <w:b/>
          <w:bCs/>
          <w:color w:val="000000"/>
          <w:sz w:val="26"/>
          <w:szCs w:val="26"/>
        </w:rPr>
        <w:t xml:space="preserve">2.1. Стандарты с плавающей точкой</w:t>
      </w:r>
    </w:p>
    <w:p>
      <w:pPr>
        <w:spacing w:after="120" w:line="360"/>
        <w:ind w:firstLine="283"/>
        <w:jc w:val="both"/>
      </w:pPr>
      <w:r>
        <w:rPr>
          <w:rFonts w:ascii="Times New Roman" w:cs="Times New Roman" w:eastAsia="Times New Roman" w:hAnsi="Times New Roman"/>
          <w:sz w:val="22"/>
          <w:szCs w:val="22"/>
        </w:rPr>
        <w:t xml:space="preserve">IEEE 754-2019 определяет двоичные форматы обмена (binary16, binary32, binary64, binary128) и правила округления, переполнения и обработки NaN, которые ими управляют. BF16 (brain float 16) отсутствует в редакции 2019 года; он возник неформально в Google Brain и теперь поддерживается аппаратурой Intel, AMD, ARM и NVIDIA, разделяя диапазон порядка FP32 (8 бит порядка, смещение порядка = 127) с 7-битной мантиссой.</w:t>
      </w:r>
    </w:p>
    <w:p>
      <w:pPr>
        <w:spacing w:after="120" w:line="360"/>
        <w:ind w:firstLine="283"/>
        <w:jc w:val="both"/>
      </w:pPr>
      <w:r>
        <w:rPr>
          <w:rFonts w:ascii="Times New Roman" w:cs="Times New Roman" w:eastAsia="Times New Roman" w:hAnsi="Times New Roman"/>
          <w:sz w:val="22"/>
          <w:szCs w:val="22"/>
        </w:rPr>
        <w:t xml:space="preserve">Форматы FP8 прошли схожую траекторию «сначала неформально, затем формально». Нун (Noune) и др. в 2022 году провели обзор 8-битных численных форматов для глубоких нейронных сетей, мотивировав варианты E4M3 и E5M2, впоследствии принятые в OCP MX и IEEE P3109.</w:t>
      </w:r>
    </w:p>
    <w:p>
      <w:pPr>
        <w:spacing w:after="120" w:line="360"/>
        <w:ind w:firstLine="283"/>
        <w:jc w:val="both"/>
      </w:pPr>
      <w:r>
        <w:rPr>
          <w:rFonts w:ascii="Times New Roman" w:cs="Times New Roman" w:eastAsia="Times New Roman" w:hAnsi="Times New Roman"/>
          <w:sz w:val="22"/>
          <w:szCs w:val="22"/>
        </w:rPr>
        <w:t xml:space="preserve">Спецификация OCP Microscaling (MX) v1.0 вводит блочные форматы, в которых группы из 32 элементов разделяют общий масштабный множитель E8M0. Типы элементов включают MXFP4 (S1E2M1), MXFP6 (E2M3 и E3M2), MXFP8 (E4M3 и E5M2) и MXINT8. OCP MX явно допускает две политики переполнения для FP8 E4M3: насыщение до максимального конечного значения (используется в реализациях tt-metal и AMD) и переполнение в NaN (используется в JAX/TPU).</w:t>
      </w:r>
    </w:p>
    <w:p>
      <w:pPr>
        <w:spacing w:after="120" w:line="360"/>
        <w:ind w:firstLine="283"/>
        <w:jc w:val="both"/>
      </w:pPr>
      <w:r>
        <w:rPr>
          <w:rFonts w:ascii="Times New Roman" w:cs="Times New Roman" w:eastAsia="Times New Roman" w:hAnsi="Times New Roman"/>
          <w:sz w:val="22"/>
          <w:szCs w:val="22"/>
        </w:rPr>
        <w:t xml:space="preserve">NVFP4 от NVIDIA — недавний 4-битный вариант, сочетающий элемент в стиле MXFP4 (S1E2M1) с 16-элементным блоком (меньшим, чем 32-элементный блок OCP MX) и использующий блочный масштаб FP8 E4M3 вместо E8M0. На момент написания NVFP4 задокументирован в форме технического блога NVIDIA и программных стеков Blackwell/Rubin; он пока не охвачен открытой межвендорной спецификацией. M²XFP далее обобщает микромасштабирование, допуская смешанные точности элементов внутри блока, причём аппаратная реализуемость исследуется в горизонте ASPLOS ’26.</w:t>
      </w:r>
    </w:p>
    <w:p>
      <w:pPr>
        <w:spacing w:after="120" w:line="360"/>
        <w:ind w:firstLine="283"/>
        <w:jc w:val="both"/>
      </w:pPr>
      <w:r>
        <w:rPr>
          <w:rFonts w:ascii="Times New Roman" w:cs="Times New Roman" w:eastAsia="Times New Roman" w:hAnsi="Times New Roman"/>
          <w:sz w:val="22"/>
          <w:szCs w:val="22"/>
        </w:rPr>
        <w:t xml:space="preserve">IEEE P3109 — активная рабочая группа, стандартизирующая 8-битные и 4-битные форматы с плавающей точкой для задач ИИ. Её промежуточный отчёт v3.2.0 определяет Binary8p3se и Binary4p1sf (среди прочих) и каталог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из приблизительно 80 операций в семи категориях.</w:t>
      </w:r>
    </w:p>
    <w:p>
      <w:pPr>
        <w:pStyle w:val="Heading2"/>
        <w:spacing w:after="110" w:before="220"/>
      </w:pPr>
      <w:r>
        <w:rPr>
          <w:rFonts w:ascii="Times New Roman" w:cs="Times New Roman" w:eastAsia="Times New Roman" w:hAnsi="Times New Roman"/>
          <w:b/>
          <w:bCs/>
          <w:color w:val="000000"/>
          <w:sz w:val="26"/>
          <w:szCs w:val="26"/>
        </w:rPr>
        <w:t xml:space="preserve">2.2. Существующие эталонные реализации</w:t>
      </w:r>
    </w:p>
    <w:p>
      <w:pPr>
        <w:spacing w:after="120" w:line="360"/>
        <w:ind w:firstLine="283"/>
        <w:jc w:val="both"/>
      </w:pPr>
      <w:r>
        <w:rPr>
          <w:rFonts w:ascii="Times New Roman" w:cs="Times New Roman" w:eastAsia="Times New Roman" w:hAnsi="Times New Roman"/>
          <w:b/>
          <w:bCs/>
          <w:sz w:val="22"/>
          <w:szCs w:val="22"/>
        </w:rPr>
        <w:t xml:space="preserve">ml_dtypes </w:t>
      </w:r>
      <w:r>
        <w:rPr>
          <w:rFonts w:ascii="Times New Roman" w:cs="Times New Roman" w:eastAsia="Times New Roman" w:hAnsi="Times New Roman"/>
          <w:sz w:val="22"/>
          <w:szCs w:val="22"/>
        </w:rPr>
        <w:t xml:space="preserve">(Google/JAX) — библиотека Python/C++, предоставляющая эталонные реализации </w:t>
      </w:r>
      <w:r>
        <w:rPr>
          <w:rFonts w:ascii="Consolas" w:cs="Consolas" w:eastAsia="Consolas" w:hAnsi="Consolas"/>
          <w:sz w:val="22"/>
          <w:szCs w:val="22"/>
        </w:rPr>
        <w:t xml:space="preserve">bfloat16</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float8_e4m3fn</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float8_e5m2</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float8_e8m0fnu</w:t>
      </w:r>
      <w:r>
        <w:rPr>
          <w:rFonts w:ascii="Times New Roman" w:cs="Times New Roman" w:eastAsia="Times New Roman" w:hAnsi="Times New Roman"/>
          <w:sz w:val="22"/>
          <w:szCs w:val="22"/>
        </w:rPr>
        <w:t xml:space="preserve"> и нескольких других форматов. Она служит эталонным оракулом на протяжении всей настоящей работы.</w:t>
      </w:r>
    </w:p>
    <w:p>
      <w:pPr>
        <w:spacing w:after="120" w:line="360"/>
        <w:ind w:firstLine="283"/>
        <w:jc w:val="both"/>
      </w:pPr>
      <w:r>
        <w:rPr>
          <w:rFonts w:ascii="Times New Roman" w:cs="Times New Roman" w:eastAsia="Times New Roman" w:hAnsi="Times New Roman"/>
          <w:b/>
          <w:bCs/>
          <w:sz w:val="22"/>
          <w:szCs w:val="22"/>
        </w:rPr>
        <w:t xml:space="preserve">P3109 FLoPS </w:t>
      </w:r>
      <w:r>
        <w:rPr>
          <w:rFonts w:ascii="Times New Roman" w:cs="Times New Roman" w:eastAsia="Times New Roman" w:hAnsi="Times New Roman"/>
          <w:sz w:val="22"/>
          <w:szCs w:val="22"/>
        </w:rPr>
        <w:t xml:space="preserve">— формализация семантики P3109 на Lean 4, обеспечивающая доказательно проверенное покрытие ключевых операций.</w:t>
      </w:r>
    </w:p>
    <w:p>
      <w:pPr>
        <w:spacing w:after="120" w:line="360"/>
        <w:ind w:firstLine="283"/>
        <w:jc w:val="both"/>
      </w:pPr>
      <w:r>
        <w:rPr>
          <w:rFonts w:ascii="Times New Roman" w:cs="Times New Roman" w:eastAsia="Times New Roman" w:hAnsi="Times New Roman"/>
          <w:b/>
          <w:bCs/>
          <w:sz w:val="22"/>
          <w:szCs w:val="22"/>
        </w:rPr>
        <w:t xml:space="preserve">Pychop </w:t>
      </w:r>
      <w:r>
        <w:rPr>
          <w:rFonts w:ascii="Times New Roman" w:cs="Times New Roman" w:eastAsia="Times New Roman" w:hAnsi="Times New Roman"/>
          <w:sz w:val="22"/>
          <w:szCs w:val="22"/>
        </w:rPr>
        <w:t xml:space="preserve">(Carson &amp; Chen, 2025) эмулирует широкое семейство низкоточных арифметик в Python, включая варианты FP8, posit и настраиваемые кортежи (E, M, смещение порядка). Она ориентирована на задачи ML и научных вычислений и дополняет настоящий каталог: Pychop эмулирует поведение на уровне операций, тогда как пакеты в этой статье фиксируют битовые паттерны на уровне представления.</w:t>
      </w:r>
    </w:p>
    <w:p>
      <w:pPr>
        <w:spacing w:after="120" w:line="360"/>
        <w:ind w:firstLine="283"/>
        <w:jc w:val="both"/>
      </w:pPr>
      <w:r>
        <w:rPr>
          <w:rFonts w:ascii="Times New Roman" w:cs="Times New Roman" w:eastAsia="Times New Roman" w:hAnsi="Times New Roman"/>
          <w:b/>
          <w:bCs/>
          <w:sz w:val="22"/>
          <w:szCs w:val="22"/>
        </w:rPr>
        <w:t xml:space="preserve">libtakum </w:t>
      </w:r>
      <w:r>
        <w:rPr>
          <w:rFonts w:ascii="Times New Roman" w:cs="Times New Roman" w:eastAsia="Times New Roman" w:hAnsi="Times New Roman"/>
          <w:sz w:val="22"/>
          <w:szCs w:val="22"/>
        </w:rPr>
        <w:t xml:space="preserve">— эталонная C-библиотека для семейства арифметики takum (Хунхольд), обеспечивающая пригодную базу для кросс-реализации кластера Posit/Unum III каталога относительно независимого оракула.</w:t>
      </w:r>
    </w:p>
    <w:p>
      <w:pPr>
        <w:spacing w:after="120" w:line="360"/>
        <w:ind w:firstLine="283"/>
        <w:jc w:val="both"/>
      </w:pPr>
      <w:r>
        <w:rPr>
          <w:rFonts w:ascii="Times New Roman" w:cs="Times New Roman" w:eastAsia="Times New Roman" w:hAnsi="Times New Roman"/>
          <w:b/>
          <w:bCs/>
          <w:sz w:val="22"/>
          <w:szCs w:val="22"/>
        </w:rPr>
        <w:t xml:space="preserve">torch.float8 </w:t>
      </w:r>
      <w:r>
        <w:rPr>
          <w:rFonts w:ascii="Times New Roman" w:cs="Times New Roman" w:eastAsia="Times New Roman" w:hAnsi="Times New Roman"/>
          <w:sz w:val="22"/>
          <w:szCs w:val="22"/>
        </w:rPr>
        <w:t xml:space="preserve">(PyTorch) и </w:t>
      </w:r>
      <w:r>
        <w:rPr>
          <w:rFonts w:ascii="Times New Roman" w:cs="Times New Roman" w:eastAsia="Times New Roman" w:hAnsi="Times New Roman"/>
          <w:b/>
          <w:bCs/>
          <w:sz w:val="22"/>
          <w:szCs w:val="22"/>
        </w:rPr>
        <w:t xml:space="preserve">jax.dtypes </w:t>
      </w:r>
      <w:r>
        <w:rPr>
          <w:rFonts w:ascii="Times New Roman" w:cs="Times New Roman" w:eastAsia="Times New Roman" w:hAnsi="Times New Roman"/>
          <w:sz w:val="22"/>
          <w:szCs w:val="22"/>
        </w:rPr>
        <w:t xml:space="preserve">предоставляют типы FP8 на уровне фреймворка, но не публикуют наборы тестов с битовыми векторами, независимые от аппаратного исполнения.</w:t>
      </w:r>
    </w:p>
    <w:p>
      <w:pPr>
        <w:spacing w:after="120" w:line="360"/>
        <w:ind w:firstLine="283"/>
        <w:jc w:val="both"/>
      </w:pPr>
      <w:r>
        <w:rPr>
          <w:rFonts w:ascii="Times New Roman" w:cs="Times New Roman" w:eastAsia="Times New Roman" w:hAnsi="Times New Roman"/>
          <w:b/>
          <w:bCs/>
          <w:sz w:val="22"/>
          <w:szCs w:val="22"/>
        </w:rPr>
        <w:t xml:space="preserve">Исследования по оценке MX </w:t>
      </w:r>
      <w:r>
        <w:rPr>
          <w:rFonts w:ascii="Times New Roman" w:cs="Times New Roman" w:eastAsia="Times New Roman" w:hAnsi="Times New Roman"/>
          <w:sz w:val="22"/>
          <w:szCs w:val="22"/>
        </w:rPr>
        <w:t xml:space="preserve">измеряют влияние микромасштабируемого квантования на точность в трансформерных задачах.</w:t>
      </w:r>
    </w:p>
    <w:p>
      <w:pPr>
        <w:pStyle w:val="Heading2"/>
        <w:spacing w:after="110" w:before="220"/>
      </w:pPr>
      <w:r>
        <w:rPr>
          <w:rFonts w:ascii="Times New Roman" w:cs="Times New Roman" w:eastAsia="Times New Roman" w:hAnsi="Times New Roman"/>
          <w:b/>
          <w:bCs/>
          <w:color w:val="000000"/>
          <w:sz w:val="26"/>
          <w:szCs w:val="26"/>
        </w:rPr>
        <w:t xml:space="preserve">2.3. Разрыв</w:t>
      </w:r>
    </w:p>
    <w:p>
      <w:pPr>
        <w:spacing w:after="120" w:line="360"/>
        <w:ind w:firstLine="283"/>
        <w:jc w:val="both"/>
      </w:pPr>
      <w:r>
        <w:rPr>
          <w:rFonts w:ascii="Times New Roman" w:cs="Times New Roman" w:eastAsia="Times New Roman" w:hAnsi="Times New Roman"/>
          <w:sz w:val="22"/>
          <w:szCs w:val="22"/>
        </w:rPr>
        <w:t xml:space="preserve">Ни один отдельный вендор-нейтральный артефакт в настоящее время не охватывает FP8 E4M3, FP8 E5M2, BF16, элемент MXFP4, элемент NVFP4, GoldenFloat 16 и блочный масштаб E8M0 в единой схеме, обладая при этом: (а) битоточными векторами кодирования/декодирования; (б) происхождением, привязанным к SHA-256; (в) явной документацией каждого расхождения с эталонной реализацией; и (г) удобочитаемым кросс-уолком к IEEE P3109. Настоящая работа заполняет этот пробел реестра для шести наиболее немедленно развёртываемых пакетов уровня представления; NVFP4 обсуждается как ближайший кандидат «Трека 2» (раздел 9) и как второй интерпретационный разрыв (раздел 7).</w:t>
      </w:r>
    </w:p>
    <w:p>
      <w:pPr>
        <w:pStyle w:val="Heading1"/>
        <w:spacing w:after="140" w:before="280"/>
      </w:pPr>
      <w:r>
        <w:rPr>
          <w:rFonts w:ascii="Times New Roman" w:cs="Times New Roman" w:eastAsia="Times New Roman" w:hAnsi="Times New Roman"/>
          <w:b/>
          <w:bCs/>
          <w:color w:val="000000"/>
          <w:sz w:val="30"/>
          <w:szCs w:val="30"/>
        </w:rPr>
        <w:t xml:space="preserve">3. Устройство каталога</w:t>
      </w:r>
    </w:p>
    <w:p>
      <w:pPr>
        <w:pStyle w:val="Heading2"/>
        <w:spacing w:after="110" w:before="220"/>
      </w:pPr>
      <w:r>
        <w:rPr>
          <w:rFonts w:ascii="Times New Roman" w:cs="Times New Roman" w:eastAsia="Times New Roman" w:hAnsi="Times New Roman"/>
          <w:b/>
          <w:bCs/>
          <w:color w:val="000000"/>
          <w:sz w:val="26"/>
          <w:szCs w:val="26"/>
        </w:rPr>
        <w:t xml:space="preserve">3.1. 83 формата в 13 кластерах</w:t>
      </w:r>
    </w:p>
    <w:p>
      <w:pPr>
        <w:spacing w:after="120" w:line="360"/>
        <w:ind w:firstLine="283"/>
        <w:jc w:val="both"/>
      </w:pPr>
      <w:r>
        <w:rPr>
          <w:rFonts w:ascii="Times New Roman" w:cs="Times New Roman" w:eastAsia="Times New Roman" w:hAnsi="Times New Roman"/>
          <w:sz w:val="22"/>
          <w:szCs w:val="22"/>
        </w:rPr>
        <w:t xml:space="preserve">Каталог </w:t>
      </w:r>
      <w:r>
        <w:rPr>
          <w:rFonts w:ascii="Consolas" w:cs="Consolas" w:eastAsia="Consolas" w:hAnsi="Consolas"/>
          <w:sz w:val="22"/>
          <w:szCs w:val="22"/>
        </w:rPr>
        <w:t xml:space="preserve">t27</w:t>
      </w:r>
      <w:r>
        <w:rPr>
          <w:rFonts w:ascii="Times New Roman" w:cs="Times New Roman" w:eastAsia="Times New Roman" w:hAnsi="Times New Roman"/>
          <w:sz w:val="22"/>
          <w:szCs w:val="22"/>
        </w:rPr>
        <w:t xml:space="preserve"> содержит 83 формата, организованных в 13 именованных кластеров. Таблица 1 показывает названия кластеров и количество форматов. Сумма количеств равна ровно 83; это непрерывно контролируемый инвариант каталога (CI-01, раздел 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760"/>
        <w:gridCol w:w="1600"/>
      </w:tblGrid>
      <w:tr>
        <w:trPr>
          <w:tblHeader/>
        </w:trPr>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Кластер</w:t>
            </w:r>
          </w:p>
        </w:tc>
        <w:tc>
          <w:tcPr>
            <w:tcW w:type="dxa" w:w="47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Представительные форматы</w:t>
            </w:r>
          </w:p>
        </w:tc>
        <w:tc>
          <w:tcPr>
            <w:tcW w:type="dxa" w:w="16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Кол-во</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IEEE754 binary</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binary16, binary32, binary64, binary128, binary256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5</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IEEE754 decimal</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decimal32, decimal64, decimal128</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Extended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x87 FP80, double-double, quad-double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ML low-precision</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BF16, TF32, FP8 E4M3, FP8 E5M2, FP6 E3M2/E2M3, FP4 E2M1</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7</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Microscaling (MX)</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MXFP8, MXFP6, MXFP4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Posit / Unum III</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Posit8/16/32/64, takum8/16/32/64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LNS</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LNS-8, LNS-16, LNS-32, LNS-64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GoldenFloat</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GFTernary, GF4 … GF1024 (с привязкой к φ), MXGF6/MXGF4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22</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IntegerFixed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INT4/8/16/32/64/128, Q-format, BCD</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QuantTuned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NF4 (NormalFloat), AFP (Adaptive FP)</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2</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Compression/scaling</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block FP (BFP), shared-exponent, INT8 per-channel, stochastic rounding</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HistoricalVendor</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IBM HFP, Microsoft MBF, VAX F/D/G/H-float, Cray float</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10</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Theoretical</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minifloat, Unum I, Unum II (SORN), tapered FP</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b/>
                <w:bCs/>
                <w:sz w:val="20"/>
                <w:szCs w:val="20"/>
              </w:rPr>
              <w:t xml:space="preserve">Итого</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b/>
                <w:bCs/>
                <w:sz w:val="20"/>
                <w:szCs w:val="20"/>
              </w:rPr>
              <w:t xml:space="preserve">83</w:t>
            </w:r>
          </w:p>
        </w:tc>
      </w:tr>
    </w:tbl>
    <w:p>
      <w:pPr>
        <w:spacing w:after="160" w:before="60"/>
        <w:jc w:val="center"/>
      </w:pPr>
      <w:r>
        <w:rPr>
          <w:rFonts w:ascii="Times New Roman" w:cs="Times New Roman" w:eastAsia="Times New Roman" w:hAnsi="Times New Roman"/>
          <w:i/>
          <w:iCs/>
          <w:sz w:val="20"/>
          <w:szCs w:val="20"/>
        </w:rPr>
        <w:t xml:space="preserve">Таблица 1. 83 формата в 13 кластерах (T1).</w:t>
      </w:r>
    </w:p>
    <w:p>
      <w:pPr>
        <w:pStyle w:val="Heading2"/>
        <w:spacing w:after="110" w:before="220"/>
      </w:pPr>
      <w:r>
        <w:rPr>
          <w:rFonts w:ascii="Times New Roman" w:cs="Times New Roman" w:eastAsia="Times New Roman" w:hAnsi="Times New Roman"/>
          <w:b/>
          <w:bCs/>
          <w:color w:val="000000"/>
          <w:sz w:val="26"/>
          <w:szCs w:val="26"/>
        </w:rPr>
        <w:t xml:space="preserve">3.2. Схема «одна строка на формат»</w:t>
      </w:r>
    </w:p>
    <w:p>
      <w:pPr>
        <w:spacing w:after="120" w:line="360"/>
        <w:ind w:firstLine="283"/>
        <w:jc w:val="both"/>
      </w:pPr>
      <w:r>
        <w:rPr>
          <w:rFonts w:ascii="Times New Roman" w:cs="Times New Roman" w:eastAsia="Times New Roman" w:hAnsi="Times New Roman"/>
          <w:sz w:val="22"/>
          <w:szCs w:val="22"/>
        </w:rPr>
        <w:t xml:space="preserve">Каждая запись каталога несёт следующие поля:</w:t>
      </w:r>
    </w:p>
    <w:p>
      <w:pPr>
        <w:pStyle w:val="ListParagraph"/>
        <w:numPr>
          <w:ilvl w:val="0"/>
          <w:numId w:val="2"/>
        </w:numPr>
        <w:spacing w:after="80" w:line="276"/>
        <w:jc w:val="both"/>
      </w:pPr>
      <w:r>
        <w:rPr>
          <w:rFonts w:ascii="Consolas" w:cs="Consolas" w:eastAsia="Consolas" w:hAnsi="Consolas"/>
          <w:sz w:val="22"/>
          <w:szCs w:val="22"/>
        </w:rPr>
        <w:t xml:space="preserve">name</w:t>
      </w:r>
      <w:r>
        <w:rPr>
          <w:rFonts w:ascii="Times New Roman" w:cs="Times New Roman" w:eastAsia="Times New Roman" w:hAnsi="Times New Roman"/>
          <w:sz w:val="22"/>
          <w:szCs w:val="22"/>
        </w:rPr>
        <w:t xml:space="preserve"> — канонический идентификатор (ASCII, без пробелов)</w:t>
      </w:r>
    </w:p>
    <w:p>
      <w:pPr>
        <w:pStyle w:val="ListParagraph"/>
        <w:numPr>
          <w:ilvl w:val="0"/>
          <w:numId w:val="2"/>
        </w:numPr>
        <w:spacing w:after="80" w:line="276"/>
        <w:jc w:val="both"/>
      </w:pPr>
      <w:r>
        <w:rPr>
          <w:rFonts w:ascii="Consolas" w:cs="Consolas" w:eastAsia="Consolas" w:hAnsi="Consolas"/>
          <w:sz w:val="22"/>
          <w:szCs w:val="22"/>
        </w:rPr>
        <w:t xml:space="preserve">bits</w:t>
      </w:r>
      <w:r>
        <w:rPr>
          <w:rFonts w:ascii="Times New Roman" w:cs="Times New Roman" w:eastAsia="Times New Roman" w:hAnsi="Times New Roman"/>
          <w:sz w:val="22"/>
          <w:szCs w:val="22"/>
        </w:rPr>
        <w:t xml:space="preserve"> — общая разрядность</w:t>
      </w:r>
    </w:p>
    <w:p>
      <w:pPr>
        <w:pStyle w:val="ListParagraph"/>
        <w:numPr>
          <w:ilvl w:val="0"/>
          <w:numId w:val="2"/>
        </w:numPr>
        <w:spacing w:after="80" w:line="276"/>
        <w:jc w:val="both"/>
      </w:pPr>
      <w:r>
        <w:rPr>
          <w:rFonts w:ascii="Consolas" w:cs="Consolas" w:eastAsia="Consolas" w:hAnsi="Consolas"/>
          <w:sz w:val="22"/>
          <w:szCs w:val="22"/>
        </w:rPr>
        <w:t xml:space="preserve">exp</w:t>
      </w:r>
      <w:r>
        <w:rPr>
          <w:rFonts w:ascii="Times New Roman" w:cs="Times New Roman" w:eastAsia="Times New Roman" w:hAnsi="Times New Roman"/>
          <w:sz w:val="22"/>
          <w:szCs w:val="22"/>
        </w:rPr>
        <w:t xml:space="preserve"> — ширина поля порядка в битах</w:t>
      </w:r>
    </w:p>
    <w:p>
      <w:pPr>
        <w:pStyle w:val="ListParagraph"/>
        <w:numPr>
          <w:ilvl w:val="0"/>
          <w:numId w:val="2"/>
        </w:numPr>
        <w:spacing w:after="80" w:line="276"/>
        <w:jc w:val="both"/>
      </w:pPr>
      <w:r>
        <w:rPr>
          <w:rFonts w:ascii="Consolas" w:cs="Consolas" w:eastAsia="Consolas" w:hAnsi="Consolas"/>
          <w:sz w:val="22"/>
          <w:szCs w:val="22"/>
        </w:rPr>
        <w:t xml:space="preserve">mant</w:t>
      </w:r>
      <w:r>
        <w:rPr>
          <w:rFonts w:ascii="Times New Roman" w:cs="Times New Roman" w:eastAsia="Times New Roman" w:hAnsi="Times New Roman"/>
          <w:sz w:val="22"/>
          <w:szCs w:val="22"/>
        </w:rPr>
        <w:t xml:space="preserve"> — ширина поля мантиссы в битах (0 для форматов в стиле E8M0)</w:t>
      </w:r>
    </w:p>
    <w:p>
      <w:pPr>
        <w:pStyle w:val="ListParagraph"/>
        <w:numPr>
          <w:ilvl w:val="0"/>
          <w:numId w:val="2"/>
        </w:numPr>
        <w:spacing w:after="80" w:line="276"/>
        <w:jc w:val="both"/>
      </w:pPr>
      <w:r>
        <w:rPr>
          <w:rFonts w:ascii="Consolas" w:cs="Consolas" w:eastAsia="Consolas" w:hAnsi="Consolas"/>
          <w:sz w:val="22"/>
          <w:szCs w:val="22"/>
        </w:rPr>
        <w:t xml:space="preserve">bias</w:t>
      </w:r>
      <w:r>
        <w:rPr>
          <w:rFonts w:ascii="Times New Roman" w:cs="Times New Roman" w:eastAsia="Times New Roman" w:hAnsi="Times New Roman"/>
          <w:sz w:val="22"/>
          <w:szCs w:val="22"/>
        </w:rPr>
        <w:t xml:space="preserve"> — смещение порядка</w:t>
      </w:r>
    </w:p>
    <w:p>
      <w:pPr>
        <w:pStyle w:val="ListParagraph"/>
        <w:numPr>
          <w:ilvl w:val="0"/>
          <w:numId w:val="2"/>
        </w:numPr>
        <w:spacing w:after="80" w:line="276"/>
        <w:jc w:val="both"/>
      </w:pPr>
      <w:r>
        <w:rPr>
          <w:rFonts w:ascii="Consolas" w:cs="Consolas" w:eastAsia="Consolas" w:hAnsi="Consolas"/>
          <w:sz w:val="22"/>
          <w:szCs w:val="22"/>
        </w:rPr>
        <w:t xml:space="preserve">has_inf</w:t>
      </w:r>
      <w:r>
        <w:rPr>
          <w:rFonts w:ascii="Times New Roman" w:cs="Times New Roman" w:eastAsia="Times New Roman" w:hAnsi="Times New Roman"/>
          <w:sz w:val="22"/>
          <w:szCs w:val="22"/>
        </w:rPr>
        <w:t xml:space="preserve"> — булево значение</w:t>
      </w:r>
    </w:p>
    <w:p>
      <w:pPr>
        <w:pStyle w:val="ListParagraph"/>
        <w:numPr>
          <w:ilvl w:val="0"/>
          <w:numId w:val="2"/>
        </w:numPr>
        <w:spacing w:after="80" w:line="276"/>
        <w:jc w:val="both"/>
      </w:pPr>
      <w:r>
        <w:rPr>
          <w:rFonts w:ascii="Consolas" w:cs="Consolas" w:eastAsia="Consolas" w:hAnsi="Consolas"/>
          <w:sz w:val="22"/>
          <w:szCs w:val="22"/>
        </w:rPr>
        <w:t xml:space="preserve">has_nan</w:t>
      </w:r>
      <w:r>
        <w:rPr>
          <w:rFonts w:ascii="Times New Roman" w:cs="Times New Roman" w:eastAsia="Times New Roman" w:hAnsi="Times New Roman"/>
          <w:sz w:val="22"/>
          <w:szCs w:val="22"/>
        </w:rPr>
        <w:t xml:space="preserve"> — булево значение</w:t>
      </w:r>
    </w:p>
    <w:p>
      <w:pPr>
        <w:pStyle w:val="ListParagraph"/>
        <w:numPr>
          <w:ilvl w:val="0"/>
          <w:numId w:val="2"/>
        </w:numPr>
        <w:spacing w:after="80" w:line="276"/>
        <w:jc w:val="both"/>
      </w:pPr>
      <w:r>
        <w:rPr>
          <w:rFonts w:ascii="Consolas" w:cs="Consolas" w:eastAsia="Consolas" w:hAnsi="Consolas"/>
          <w:sz w:val="22"/>
          <w:szCs w:val="22"/>
        </w:rPr>
        <w:t xml:space="preserve">saturation_policy</w:t>
      </w:r>
      <w:r>
        <w:rPr>
          <w:rFonts w:ascii="Times New Roman" w:cs="Times New Roman" w:eastAsia="Times New Roman" w:hAnsi="Times New Roman"/>
          <w:sz w:val="22"/>
          <w:szCs w:val="22"/>
        </w:rPr>
        <w:t xml:space="preserve"> — </w:t>
      </w:r>
      <w:r>
        <w:rPr>
          <w:rFonts w:ascii="Consolas" w:cs="Consolas" w:eastAsia="Consolas" w:hAnsi="Consolas"/>
          <w:sz w:val="22"/>
          <w:szCs w:val="22"/>
        </w:rPr>
        <w:t xml:space="preserve">SatFinite</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OvfInf</w:t>
      </w:r>
      <w:r>
        <w:rPr>
          <w:rFonts w:ascii="Times New Roman" w:cs="Times New Roman" w:eastAsia="Times New Roman" w:hAnsi="Times New Roman"/>
          <w:sz w:val="22"/>
          <w:szCs w:val="22"/>
        </w:rPr>
        <w:t xml:space="preserve"> или </w:t>
      </w:r>
      <w:r>
        <w:rPr>
          <w:rFonts w:ascii="Consolas" w:cs="Consolas" w:eastAsia="Consolas" w:hAnsi="Consolas"/>
          <w:sz w:val="22"/>
          <w:szCs w:val="22"/>
        </w:rPr>
        <w:t xml:space="preserve">OvfNaN</w:t>
      </w:r>
      <w:r>
        <w:rPr>
          <w:rFonts w:ascii="Times New Roman" w:cs="Times New Roman" w:eastAsia="Times New Roman" w:hAnsi="Times New Roman"/>
          <w:sz w:val="22"/>
          <w:szCs w:val="22"/>
        </w:rPr>
        <w:t xml:space="preserve"/>
      </w:r>
    </w:p>
    <w:p>
      <w:pPr>
        <w:pStyle w:val="ListParagraph"/>
        <w:numPr>
          <w:ilvl w:val="0"/>
          <w:numId w:val="2"/>
        </w:numPr>
        <w:spacing w:after="80" w:line="276"/>
        <w:jc w:val="both"/>
      </w:pPr>
      <w:r>
        <w:rPr>
          <w:rFonts w:ascii="Consolas" w:cs="Consolas" w:eastAsia="Consolas" w:hAnsi="Consolas"/>
          <w:sz w:val="22"/>
          <w:szCs w:val="22"/>
        </w:rPr>
        <w:t xml:space="preserve">max_finite</w:t>
      </w:r>
      <w:r>
        <w:rPr>
          <w:rFonts w:ascii="Times New Roman" w:cs="Times New Roman" w:eastAsia="Times New Roman" w:hAnsi="Times New Roman"/>
          <w:sz w:val="22"/>
          <w:szCs w:val="22"/>
        </w:rPr>
        <w:t xml:space="preserve"> — наибольшее представимое конечное значение (f64)</w:t>
      </w:r>
    </w:p>
    <w:p>
      <w:pPr>
        <w:pStyle w:val="ListParagraph"/>
        <w:numPr>
          <w:ilvl w:val="0"/>
          <w:numId w:val="2"/>
        </w:numPr>
        <w:spacing w:after="80" w:line="276"/>
        <w:jc w:val="both"/>
      </w:pPr>
      <w:r>
        <w:rPr>
          <w:rFonts w:ascii="Consolas" w:cs="Consolas" w:eastAsia="Consolas" w:hAnsi="Consolas"/>
          <w:sz w:val="22"/>
          <w:szCs w:val="22"/>
        </w:rPr>
        <w:t xml:space="preserve">min_normal</w:t>
      </w:r>
      <w:r>
        <w:rPr>
          <w:rFonts w:ascii="Times New Roman" w:cs="Times New Roman" w:eastAsia="Times New Roman" w:hAnsi="Times New Roman"/>
          <w:sz w:val="22"/>
          <w:szCs w:val="22"/>
        </w:rPr>
        <w:t xml:space="preserve"> — наименьшее положительное нормальное значение (f64)</w:t>
      </w:r>
    </w:p>
    <w:p>
      <w:pPr>
        <w:pStyle w:val="ListParagraph"/>
        <w:numPr>
          <w:ilvl w:val="0"/>
          <w:numId w:val="2"/>
        </w:numPr>
        <w:spacing w:after="80" w:line="276"/>
        <w:jc w:val="both"/>
      </w:pPr>
      <w:r>
        <w:rPr>
          <w:rFonts w:ascii="Consolas" w:cs="Consolas" w:eastAsia="Consolas" w:hAnsi="Consolas"/>
          <w:sz w:val="22"/>
          <w:szCs w:val="22"/>
        </w:rPr>
        <w:t xml:space="preserve">min_subnormal</w:t>
      </w:r>
      <w:r>
        <w:rPr>
          <w:rFonts w:ascii="Times New Roman" w:cs="Times New Roman" w:eastAsia="Times New Roman" w:hAnsi="Times New Roman"/>
          <w:sz w:val="22"/>
          <w:szCs w:val="22"/>
        </w:rPr>
        <w:t xml:space="preserve"> — наименьшее положительное субнормальное число (f64; </w:t>
      </w:r>
      <w:r>
        <w:rPr>
          <w:rFonts w:ascii="Consolas" w:cs="Consolas" w:eastAsia="Consolas" w:hAnsi="Consolas"/>
          <w:sz w:val="22"/>
          <w:szCs w:val="22"/>
        </w:rPr>
        <w:t xml:space="preserve">null</w:t>
      </w:r>
      <w:r>
        <w:rPr>
          <w:rFonts w:ascii="Times New Roman" w:cs="Times New Roman" w:eastAsia="Times New Roman" w:hAnsi="Times New Roman"/>
          <w:sz w:val="22"/>
          <w:szCs w:val="22"/>
        </w:rPr>
        <w:t xml:space="preserve">, если отсутствует)</w:t>
      </w:r>
    </w:p>
    <w:p>
      <w:pPr>
        <w:pStyle w:val="ListParagraph"/>
        <w:numPr>
          <w:ilvl w:val="0"/>
          <w:numId w:val="2"/>
        </w:numPr>
        <w:spacing w:after="80" w:line="276"/>
        <w:jc w:val="both"/>
      </w:pPr>
      <w:r>
        <w:rPr>
          <w:rFonts w:ascii="Consolas" w:cs="Consolas" w:eastAsia="Consolas" w:hAnsi="Consolas"/>
          <w:sz w:val="22"/>
          <w:szCs w:val="22"/>
        </w:rPr>
        <w:t xml:space="preserve">cluster</w:t>
      </w:r>
      <w:r>
        <w:rPr>
          <w:rFonts w:ascii="Times New Roman" w:cs="Times New Roman" w:eastAsia="Times New Roman" w:hAnsi="Times New Roman"/>
          <w:sz w:val="22"/>
          <w:szCs w:val="22"/>
        </w:rPr>
        <w:t xml:space="preserve"> — одна из 13 меток кластеров</w:t>
      </w:r>
    </w:p>
    <w:p>
      <w:pPr>
        <w:pStyle w:val="ListParagraph"/>
        <w:numPr>
          <w:ilvl w:val="0"/>
          <w:numId w:val="2"/>
        </w:numPr>
        <w:spacing w:after="80" w:line="276"/>
        <w:jc w:val="both"/>
      </w:pPr>
      <w:r>
        <w:rPr>
          <w:rFonts w:ascii="Consolas" w:cs="Consolas" w:eastAsia="Consolas" w:hAnsi="Consolas"/>
          <w:sz w:val="22"/>
          <w:szCs w:val="22"/>
        </w:rPr>
        <w:t xml:space="preserve">claim_status</w:t>
      </w:r>
      <w:r>
        <w:rPr>
          <w:rFonts w:ascii="Times New Roman" w:cs="Times New Roman" w:eastAsia="Times New Roman" w:hAnsi="Times New Roman"/>
          <w:sz w:val="22"/>
          <w:szCs w:val="22"/>
        </w:rPr>
        <w:t xml:space="preserve"> — Verified / Empirical_fit / Open_conjecture / Risk / Retracted</w:t>
      </w:r>
    </w:p>
    <w:p>
      <w:pPr>
        <w:pStyle w:val="Heading2"/>
        <w:spacing w:after="110" w:before="220"/>
      </w:pPr>
      <w:r>
        <w:rPr>
          <w:rFonts w:ascii="Times New Roman" w:cs="Times New Roman" w:eastAsia="Times New Roman" w:hAnsi="Times New Roman"/>
          <w:b/>
          <w:bCs/>
          <w:color w:val="000000"/>
          <w:sz w:val="26"/>
          <w:szCs w:val="26"/>
        </w:rPr>
        <w:t xml:space="preserve">3.3. Таксономия статусов утверждений</w:t>
      </w:r>
    </w:p>
    <w:p>
      <w:pPr>
        <w:spacing w:after="120" w:line="360"/>
        <w:ind w:firstLine="283"/>
        <w:jc w:val="both"/>
      </w:pPr>
      <w:r>
        <w:rPr>
          <w:rFonts w:ascii="Times New Roman" w:cs="Times New Roman" w:eastAsia="Times New Roman" w:hAnsi="Times New Roman"/>
          <w:b/>
          <w:bCs/>
          <w:sz w:val="22"/>
          <w:szCs w:val="22"/>
        </w:rPr>
        <w:t xml:space="preserve">Verified: </w:t>
      </w:r>
      <w:r>
        <w:rPr>
          <w:rFonts w:ascii="Times New Roman" w:cs="Times New Roman" w:eastAsia="Times New Roman" w:hAnsi="Times New Roman"/>
          <w:sz w:val="22"/>
          <w:szCs w:val="22"/>
        </w:rPr>
        <w:t xml:space="preserve">спецификация формата подкреплена опубликованным стандартом (IEEE, OCP) или доказательно проверенным эталоном (P3109 FLoPS Lean).</w:t>
      </w:r>
    </w:p>
    <w:p>
      <w:pPr>
        <w:spacing w:after="120" w:line="360"/>
        <w:ind w:firstLine="283"/>
        <w:jc w:val="both"/>
      </w:pPr>
      <w:r>
        <w:rPr>
          <w:rFonts w:ascii="Times New Roman" w:cs="Times New Roman" w:eastAsia="Times New Roman" w:hAnsi="Times New Roman"/>
          <w:b/>
          <w:bCs/>
          <w:sz w:val="22"/>
          <w:szCs w:val="22"/>
        </w:rPr>
        <w:t xml:space="preserve">Empirical_fit: </w:t>
      </w:r>
      <w:r>
        <w:rPr>
          <w:rFonts w:ascii="Times New Roman" w:cs="Times New Roman" w:eastAsia="Times New Roman" w:hAnsi="Times New Roman"/>
          <w:sz w:val="22"/>
          <w:szCs w:val="22"/>
        </w:rPr>
        <w:t xml:space="preserve">выведена путём подгонки наблюдаемой битовой раскладки аппаратного продукта без независимо опубликованной спецификации.</w:t>
      </w:r>
    </w:p>
    <w:p>
      <w:pPr>
        <w:spacing w:after="120" w:line="360"/>
        <w:ind w:firstLine="283"/>
        <w:jc w:val="both"/>
      </w:pPr>
      <w:r>
        <w:rPr>
          <w:rFonts w:ascii="Times New Roman" w:cs="Times New Roman" w:eastAsia="Times New Roman" w:hAnsi="Times New Roman"/>
          <w:b/>
          <w:bCs/>
          <w:sz w:val="22"/>
          <w:szCs w:val="22"/>
        </w:rPr>
        <w:t xml:space="preserve">Open_conjecture: </w:t>
      </w:r>
      <w:r>
        <w:rPr>
          <w:rFonts w:ascii="Times New Roman" w:cs="Times New Roman" w:eastAsia="Times New Roman" w:hAnsi="Times New Roman"/>
          <w:sz w:val="22"/>
          <w:szCs w:val="22"/>
        </w:rPr>
        <w:t xml:space="preserve">предложенное обобщение, ожидающее внешней проверки.</w:t>
      </w:r>
    </w:p>
    <w:p>
      <w:pPr>
        <w:spacing w:after="120" w:line="360"/>
        <w:ind w:firstLine="283"/>
        <w:jc w:val="both"/>
      </w:pPr>
      <w:r>
        <w:rPr>
          <w:rFonts w:ascii="Times New Roman" w:cs="Times New Roman" w:eastAsia="Times New Roman" w:hAnsi="Times New Roman"/>
          <w:b/>
          <w:bCs/>
          <w:sz w:val="22"/>
          <w:szCs w:val="22"/>
        </w:rPr>
        <w:t xml:space="preserve">Risk: </w:t>
      </w:r>
      <w:r>
        <w:rPr>
          <w:rFonts w:ascii="Times New Roman" w:cs="Times New Roman" w:eastAsia="Times New Roman" w:hAnsi="Times New Roman"/>
          <w:sz w:val="22"/>
          <w:szCs w:val="22"/>
        </w:rPr>
        <w:t xml:space="preserve">ссылка на спецификацию существует, но кодировка в каталоге может содержать ошибки, ещё не выявленные набором тестов.</w:t>
      </w:r>
    </w:p>
    <w:p>
      <w:pPr>
        <w:spacing w:after="120" w:line="360"/>
        <w:ind w:firstLine="283"/>
        <w:jc w:val="both"/>
      </w:pPr>
      <w:r>
        <w:rPr>
          <w:rFonts w:ascii="Times New Roman" w:cs="Times New Roman" w:eastAsia="Times New Roman" w:hAnsi="Times New Roman"/>
          <w:b/>
          <w:bCs/>
          <w:sz w:val="22"/>
          <w:szCs w:val="22"/>
        </w:rPr>
        <w:t xml:space="preserve">Retracted: </w:t>
      </w:r>
      <w:r>
        <w:rPr>
          <w:rFonts w:ascii="Times New Roman" w:cs="Times New Roman" w:eastAsia="Times New Roman" w:hAnsi="Times New Roman"/>
          <w:sz w:val="22"/>
          <w:szCs w:val="22"/>
        </w:rPr>
        <w:t xml:space="preserve">ранее была включена; удалена после выявления противоречащего авторитетного источника.</w:t>
      </w:r>
    </w:p>
    <w:p>
      <w:pPr>
        <w:pStyle w:val="Heading2"/>
        <w:spacing w:after="110" w:before="220"/>
      </w:pPr>
      <w:r>
        <w:rPr>
          <w:rFonts w:ascii="Times New Roman" w:cs="Times New Roman" w:eastAsia="Times New Roman" w:hAnsi="Times New Roman"/>
          <w:b/>
          <w:bCs/>
          <w:color w:val="000000"/>
          <w:sz w:val="26"/>
          <w:szCs w:val="26"/>
        </w:rPr>
        <w:t xml:space="preserve">3.4. Инварианты каталога</w:t>
      </w:r>
    </w:p>
    <w:p>
      <w:pPr>
        <w:spacing w:after="120" w:line="360"/>
        <w:ind w:firstLine="283"/>
        <w:jc w:val="both"/>
      </w:pPr>
      <w:r>
        <w:rPr>
          <w:rFonts w:ascii="Times New Roman" w:cs="Times New Roman" w:eastAsia="Times New Roman" w:hAnsi="Times New Roman"/>
          <w:sz w:val="22"/>
          <w:szCs w:val="22"/>
        </w:rPr>
        <w:t xml:space="preserve">Пятнадцать инвариантов проверяются при каждом коммите. Отдельные инварианты перечислены в таблице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500"/>
        <w:gridCol w:w="4760"/>
      </w:tblGrid>
      <w:tr>
        <w:trPr>
          <w:tblHeader/>
        </w:trPr>
        <w:tc>
          <w:tcPr>
            <w:tcW w:type="dxa" w:w="11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ID</w:t>
            </w:r>
          </w:p>
        </w:tc>
        <w:tc>
          <w:tcPr>
            <w:tcW w:type="dxa" w:w="3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Инвариант</w:t>
            </w:r>
          </w:p>
        </w:tc>
        <w:tc>
          <w:tcPr>
            <w:tcW w:type="dxa" w:w="47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Проверка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Общее число форматов равно 83</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sum(cluster_counts) == 83</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коллизий имён</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len(names) == len(set(names))</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Согласованность разрядности</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1 + exp + mant == bits</w:t>
            </w:r>
            <w:r>
              <w:rPr>
                <w:rFonts w:ascii="Times New Roman" w:cs="Times New Roman" w:eastAsia="Times New Roman" w:hAnsi="Times New Roman"/>
                <w:sz w:val="20"/>
                <w:szCs w:val="20"/>
              </w:rPr>
              <w:t xml:space="preserve"> для стандартной раскладки</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Диапазон смещения порядка</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bias &lt;= 2**(exp-1) - 1</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политики насыщения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поле не равно null для каждой записи</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CI-06</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Положительное max-finite</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max_finite &gt; 0</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CI-07</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min-normal ≤ max-finite</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порядок сохранён</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CI-08</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Метка кластера из перечисления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неперечисленных имён кластеров</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CI-09</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Статус утверждения из перечисления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неперечисленных значений статуса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формата с 0 бит</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bits &gt;= 2</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якоря SHA-256</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заголовок каждого пакета несёт поле отпечатка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якорного вектора</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каждый пакет содержит вектор </w:t>
            </w:r>
            <w:r>
              <w:rPr>
                <w:rFonts w:ascii="Consolas" w:cs="Consolas" w:eastAsia="Consolas" w:hAnsi="Consolas"/>
                <w:sz w:val="22"/>
                <w:szCs w:val="22"/>
              </w:rPr>
              <w:t xml:space="preserve">anchor_*</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Якорь декодируется в 3,0</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decode(anchor_bits) == 3.0</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Цели кодогенерации компилируются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CI-матрица запускает тесты импорта Python + Rust</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дублирующихся SHA-256</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отпечатки пакетов глобально уникальны</w:t>
            </w:r>
          </w:p>
        </w:tc>
      </w:tr>
    </w:tbl>
    <w:p>
      <w:pPr>
        <w:spacing w:after="160" w:before="60"/>
        <w:jc w:val="center"/>
      </w:pPr>
      <w:r>
        <w:rPr>
          <w:rFonts w:ascii="Times New Roman" w:cs="Times New Roman" w:eastAsia="Times New Roman" w:hAnsi="Times New Roman"/>
          <w:i/>
          <w:iCs/>
          <w:sz w:val="20"/>
          <w:szCs w:val="20"/>
        </w:rPr>
        <w:t xml:space="preserve">Таблица 2. 15 инвариантов каталога (контролируемые CI) (T2).</w:t>
      </w:r>
    </w:p>
    <w:p>
      <w:pPr>
        <w:pStyle w:val="Heading2"/>
        <w:spacing w:after="110" w:before="220"/>
      </w:pPr>
      <w:r>
        <w:rPr>
          <w:rFonts w:ascii="Times New Roman" w:cs="Times New Roman" w:eastAsia="Times New Roman" w:hAnsi="Times New Roman"/>
          <w:b/>
          <w:bCs/>
          <w:color w:val="000000"/>
          <w:sz w:val="26"/>
          <w:szCs w:val="26"/>
        </w:rPr>
        <w:t xml:space="preserve">3.5. Путь кодогенерации</w:t>
      </w:r>
    </w:p>
    <w:p>
      <w:pPr>
        <w:spacing w:after="120" w:line="360"/>
        <w:ind w:firstLine="283"/>
        <w:jc w:val="both"/>
      </w:pPr>
      <w:r>
        <w:rPr>
          <w:rFonts w:ascii="Times New Roman" w:cs="Times New Roman" w:eastAsia="Times New Roman" w:hAnsi="Times New Roman"/>
          <w:sz w:val="22"/>
          <w:szCs w:val="22"/>
        </w:rPr>
        <w:t xml:space="preserve">Единый шаблонный инструмент на Jinja2 читает канонический JSON-каталог и порождает выходные файлы для каждого языка: Markdown (удобочитаемая таблица), JSON (экспорт для API), классы данных Python, структуры Rust с производными </w:t>
      </w:r>
      <w:r>
        <w:rPr>
          <w:rFonts w:ascii="Consolas" w:cs="Consolas" w:eastAsia="Consolas" w:hAnsi="Consolas"/>
          <w:sz w:val="22"/>
          <w:szCs w:val="22"/>
        </w:rPr>
        <w:t xml:space="preserve">serde</w:t>
      </w:r>
      <w:r>
        <w:rPr>
          <w:rFonts w:ascii="Times New Roman" w:cs="Times New Roman" w:eastAsia="Times New Roman" w:hAnsi="Times New Roman"/>
          <w:sz w:val="22"/>
          <w:szCs w:val="22"/>
        </w:rPr>
        <w:t xml:space="preserve">, заголовок C (константы </w:t>
      </w:r>
      <w:r>
        <w:rPr>
          <w:rFonts w:ascii="Consolas" w:cs="Consolas" w:eastAsia="Consolas" w:hAnsi="Consolas"/>
          <w:sz w:val="22"/>
          <w:szCs w:val="22"/>
        </w:rPr>
        <w:t xml:space="preserve">#define</w:t>
      </w:r>
      <w:r>
        <w:rPr>
          <w:rFonts w:ascii="Times New Roman" w:cs="Times New Roman" w:eastAsia="Times New Roman" w:hAnsi="Times New Roman"/>
          <w:sz w:val="22"/>
          <w:szCs w:val="22"/>
        </w:rPr>
        <w:t xml:space="preserve">) и литералы перечислений TypeScript. Все сгенерированные файлы фиксируются в репозитории </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и пересобираются при каждом push посредством матрицы GitHub Actions.</w:t>
      </w:r>
    </w:p>
    <w:p>
      <w:pPr>
        <w:pStyle w:val="Heading1"/>
        <w:spacing w:after="140" w:before="280"/>
      </w:pPr>
      <w:r>
        <w:rPr>
          <w:rFonts w:ascii="Times New Roman" w:cs="Times New Roman" w:eastAsia="Times New Roman" w:hAnsi="Times New Roman"/>
          <w:b/>
          <w:bCs/>
          <w:color w:val="000000"/>
          <w:sz w:val="30"/>
          <w:szCs w:val="30"/>
        </w:rPr>
        <w:t xml:space="preserve">4. Методология пакетов соответствия</w:t>
      </w:r>
    </w:p>
    <w:p>
      <w:pPr>
        <w:pStyle w:val="Heading2"/>
        <w:spacing w:after="110" w:before="220"/>
      </w:pPr>
      <w:r>
        <w:rPr>
          <w:rFonts w:ascii="Times New Roman" w:cs="Times New Roman" w:eastAsia="Times New Roman" w:hAnsi="Times New Roman"/>
          <w:b/>
          <w:bCs/>
          <w:color w:val="000000"/>
          <w:sz w:val="26"/>
          <w:szCs w:val="26"/>
        </w:rPr>
        <w:t xml:space="preserve">4.1. Общая схема строк</w:t>
      </w:r>
    </w:p>
    <w:p>
      <w:pPr>
        <w:spacing w:after="120" w:line="360"/>
        <w:ind w:firstLine="283"/>
        <w:jc w:val="both"/>
      </w:pPr>
      <w:r>
        <w:rPr>
          <w:rFonts w:ascii="Times New Roman" w:cs="Times New Roman" w:eastAsia="Times New Roman" w:hAnsi="Times New Roman"/>
          <w:sz w:val="22"/>
          <w:szCs w:val="22"/>
        </w:rPr>
        <w:t xml:space="preserve">Каждый пакет соответствия представляет собой JSON-массив векторов, причём каждая строка соответствует схеме, показанной в таблице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5660"/>
      </w:tblGrid>
      <w:tr>
        <w:trPr>
          <w:tblHeader/>
        </w:trPr>
        <w:tc>
          <w:tcPr>
            <w:tcW w:type="dxa" w:w="24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Поле</w:t>
            </w:r>
          </w:p>
        </w:tc>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Тип</w:t>
            </w:r>
          </w:p>
        </w:tc>
        <w:tc>
          <w:tcPr>
            <w:tcW w:type="dxa" w:w="56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Описание</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name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удобочитаемый идентификатор тест-случая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input_f64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входное значение как число двойной точности</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input_f64_hex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шестнадцатеричная кодировка IEEE 754 входа (f32 или f64)</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&lt;fmt&gt;_bits_hex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битовый паттерн целевого формата, hex</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&lt;fmt&gt;_bits_int</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integer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тот же битовый паттерн как беззнаковое целое</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decoded_f64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результат decode(encode(input))</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decoded_f64_hex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шестнадцатеричная кодировка IEEE 754 декодированного значения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abs_error</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|вход − декодированное|; всегда показывается (никогда не скрывается)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category</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zero / normal / subnormal / inf / nan / overflow / underflow / rounding / anchor / transcendental</w:t>
            </w:r>
          </w:p>
        </w:tc>
      </w:tr>
    </w:tbl>
    <w:p>
      <w:pPr>
        <w:spacing w:after="160" w:before="60"/>
        <w:jc w:val="center"/>
      </w:pPr>
      <w:r>
        <w:rPr>
          <w:rFonts w:ascii="Times New Roman" w:cs="Times New Roman" w:eastAsia="Times New Roman" w:hAnsi="Times New Roman"/>
          <w:i/>
          <w:iCs/>
          <w:sz w:val="20"/>
          <w:szCs w:val="20"/>
        </w:rPr>
        <w:t xml:space="preserve">Таблица 3. Общая схема строк для всех пакетов соответствия (T3).</w:t>
      </w:r>
    </w:p>
    <w:p>
      <w:pPr>
        <w:pStyle w:val="Heading2"/>
        <w:spacing w:after="110" w:before="220"/>
      </w:pPr>
      <w:r>
        <w:rPr>
          <w:rFonts w:ascii="Times New Roman" w:cs="Times New Roman" w:eastAsia="Times New Roman" w:hAnsi="Times New Roman"/>
          <w:b/>
          <w:bCs/>
          <w:color w:val="000000"/>
          <w:sz w:val="26"/>
          <w:szCs w:val="26"/>
        </w:rPr>
        <w:t xml:space="preserve">4.2. Заголовок пакета</w:t>
      </w:r>
    </w:p>
    <w:p>
      <w:pPr>
        <w:spacing w:after="120" w:line="360"/>
        <w:ind w:firstLine="283"/>
        <w:jc w:val="both"/>
      </w:pPr>
      <w:r>
        <w:rPr>
          <w:rFonts w:ascii="Times New Roman" w:cs="Times New Roman" w:eastAsia="Times New Roman" w:hAnsi="Times New Roman"/>
          <w:sz w:val="22"/>
          <w:szCs w:val="22"/>
        </w:rPr>
        <w:t xml:space="preserve">Помимо массива векторов, каждый файл пакета несёт объект-заголовок со следующими полями: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Четвёрка спецификации формата: (E, M, смещение порядка, политика inf/NaN)</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Политика насыщения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Максимальное конечное значение</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Самоотпечаток SHA-256 (вычисленный по канонической JSON-сериализации)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Якорь версии </w:t>
      </w:r>
      <w:r>
        <w:rPr>
          <w:rFonts w:ascii="Consolas" w:cs="Consolas" w:eastAsia="Consolas" w:hAnsi="Consolas"/>
          <w:sz w:val="22"/>
          <w:szCs w:val="22"/>
        </w:rPr>
        <w:t xml:space="preserve">ml_dtypes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Ссылка на якорное тождество: </w:t>
      </w:r>
      <w:r>
        <w:rPr>
          <w:rFonts w:ascii="Consolas" w:cs="Consolas" w:eastAsia="Consolas" w:hAnsi="Consolas"/>
          <w:sz w:val="22"/>
          <w:szCs w:val="22"/>
        </w:rPr>
        <w:t xml:space="preserve">phi^2 + 1/phi^2 = 3 (arXiv:2606.05017)</w:t>
      </w:r>
    </w:p>
    <w:p>
      <w:pPr>
        <w:pStyle w:val="Heading2"/>
        <w:spacing w:after="110" w:before="220"/>
      </w:pPr>
      <w:r>
        <w:rPr>
          <w:rFonts w:ascii="Times New Roman" w:cs="Times New Roman" w:eastAsia="Times New Roman" w:hAnsi="Times New Roman"/>
          <w:b/>
          <w:bCs/>
          <w:color w:val="000000"/>
          <w:sz w:val="26"/>
          <w:szCs w:val="26"/>
        </w:rPr>
        <w:t xml:space="preserve">4.3. Якорный вектор</w:t>
      </w:r>
    </w:p>
    <w:p>
      <w:pPr>
        <w:spacing w:after="120" w:line="360"/>
        <w:ind w:firstLine="283"/>
        <w:jc w:val="both"/>
      </w:pPr>
      <w:r>
        <w:rPr>
          <w:rFonts w:ascii="Times New Roman" w:cs="Times New Roman" w:eastAsia="Times New Roman" w:hAnsi="Times New Roman"/>
          <w:sz w:val="22"/>
          <w:szCs w:val="22"/>
        </w:rPr>
        <w:t xml:space="preserve">Каждый пакет содержит как минимум один вектор с именем </w:t>
      </w:r>
      <w:r>
        <w:rPr>
          <w:rFonts w:ascii="Consolas" w:cs="Consolas" w:eastAsia="Consolas" w:hAnsi="Consolas"/>
          <w:sz w:val="22"/>
          <w:szCs w:val="22"/>
        </w:rPr>
        <w:t xml:space="preserve">anchor_*</w:t>
      </w:r>
      <w:r>
        <w:rPr>
          <w:rFonts w:ascii="Times New Roman" w:cs="Times New Roman" w:eastAsia="Times New Roman" w:hAnsi="Times New Roman"/>
          <w:sz w:val="22"/>
          <w:szCs w:val="22"/>
        </w:rPr>
        <w:t xml:space="preserve">, кодирующий значение 3,0. Мотивацией служит тождество</w:t>
      </w:r>
    </w:p>
    <w:p>
      <w:pPr>
        <w:spacing w:after="80" w:before="80"/>
        <w:jc w:val="center"/>
      </w:pPr>
      <w:r>
        <w:rPr>
          <w:rFonts w:ascii="Times New Roman" w:cs="Times New Roman" w:eastAsia="Times New Roman" w:hAnsi="Times New Roman"/>
          <w:i/>
          <w:iCs/>
          <w:sz w:val="26"/>
          <w:szCs w:val="26"/>
        </w:rPr>
        <w:t xml:space="preserve">φ² + 1/φ² = 3,     (1)</w:t>
      </w:r>
    </w:p>
    <w:p>
      <w:pPr>
        <w:spacing w:after="120" w:line="360"/>
        <w:ind w:firstLine="283"/>
        <w:jc w:val="both"/>
      </w:pPr>
      <w:r>
        <w:rPr>
          <w:rFonts w:ascii="Times New Roman" w:cs="Times New Roman" w:eastAsia="Times New Roman" w:hAnsi="Times New Roman"/>
          <w:sz w:val="22"/>
          <w:szCs w:val="22"/>
        </w:rPr>
        <w:t xml:space="preserve">где φ = (1 + √5)/2 — золотое сечение. Это тождество представлено и контекстуализировано в препринте GoldenFloat как численно обоснованный L₂-якорь. Значение 3,0 точно представимо во всех шести форматах пакетов (оно попадает в нормальный диапазон с нулевой ошибкой мантиссы для всех шести раскладок), что делает его надёжной однострочной проверкой корректности между пакетами.</w:t>
      </w:r>
    </w:p>
    <w:p>
      <w:pPr>
        <w:spacing w:after="120" w:line="360"/>
        <w:ind w:firstLine="283"/>
        <w:jc w:val="both"/>
      </w:pPr>
      <w:r>
        <w:rPr>
          <w:rFonts w:ascii="Times New Roman" w:cs="Times New Roman" w:eastAsia="Times New Roman" w:hAnsi="Times New Roman"/>
          <w:sz w:val="22"/>
          <w:szCs w:val="22"/>
        </w:rPr>
        <w:t xml:space="preserve">Формально: для любого формата пакета F, если decode_F(encode_F(3,0)) ≠ 3,0, присутствует фундаментальная ошибка реализации.</w:t>
      </w:r>
    </w:p>
    <w:p>
      <w:pPr>
        <w:pStyle w:val="Heading2"/>
        <w:spacing w:after="110" w:before="220"/>
      </w:pPr>
      <w:r>
        <w:rPr>
          <w:rFonts w:ascii="Times New Roman" w:cs="Times New Roman" w:eastAsia="Times New Roman" w:hAnsi="Times New Roman"/>
          <w:b/>
          <w:bCs/>
          <w:color w:val="000000"/>
          <w:sz w:val="26"/>
          <w:szCs w:val="26"/>
        </w:rPr>
        <w:t xml:space="preserve">4.4. Шаги верификации</w:t>
      </w:r>
    </w:p>
    <w:p>
      <w:pPr>
        <w:spacing w:after="120" w:line="360"/>
        <w:ind w:firstLine="283"/>
        <w:jc w:val="both"/>
      </w:pPr>
      <w:r>
        <w:rPr>
          <w:rFonts w:ascii="Times New Roman" w:cs="Times New Roman" w:eastAsia="Times New Roman" w:hAnsi="Times New Roman"/>
          <w:sz w:val="22"/>
          <w:szCs w:val="22"/>
        </w:rPr>
        <w:t xml:space="preserve">Каждый пакет проверяется двумя независимыми процедурами:</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Самопроверка циклическим кодированием-декодированием (round-trip). </w:t>
      </w:r>
      <w:r>
        <w:rPr>
          <w:rFonts w:ascii="Times New Roman" w:cs="Times New Roman" w:eastAsia="Times New Roman" w:hAnsi="Times New Roman"/>
          <w:sz w:val="22"/>
          <w:szCs w:val="22"/>
        </w:rPr>
        <w:t xml:space="preserve">Для каждого вектора: decode(encode(input)) = decoded, причём сохранённое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согласовано с отклонением.</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Перекрёстная проверка относительно ml_dtypes 0.5.4. </w:t>
      </w:r>
      <w:r>
        <w:rPr>
          <w:rFonts w:ascii="Times New Roman" w:cs="Times New Roman" w:eastAsia="Times New Roman" w:hAnsi="Times New Roman"/>
          <w:sz w:val="22"/>
          <w:szCs w:val="22"/>
        </w:rPr>
        <w:t xml:space="preserve">Там, где существует соответствующий тип ml_dtypes, битовые паттерны пакета сравниваются с кодировкой ml_dtypes тех же входов. Каждое расхождение записывается в список </w:t>
      </w:r>
      <w:r>
        <w:rPr>
          <w:rFonts w:ascii="Consolas" w:cs="Consolas" w:eastAsia="Consolas" w:hAnsi="Consolas"/>
          <w:sz w:val="22"/>
          <w:szCs w:val="22"/>
        </w:rPr>
        <w:t xml:space="preserve">divergences</w:t>
      </w:r>
      <w:r>
        <w:rPr>
          <w:rFonts w:ascii="Times New Roman" w:cs="Times New Roman" w:eastAsia="Times New Roman" w:hAnsi="Times New Roman"/>
          <w:sz w:val="22"/>
          <w:szCs w:val="22"/>
        </w:rPr>
        <w:t xml:space="preserve"> заголовка пакета и описывается в настоящей статье.</w:t>
      </w:r>
    </w:p>
    <w:p>
      <w:pPr>
        <w:spacing w:after="120" w:line="360"/>
        <w:ind w:firstLine="283"/>
        <w:jc w:val="both"/>
      </w:pPr>
      <w:r>
        <w:rPr>
          <w:rFonts w:ascii="Times New Roman" w:cs="Times New Roman" w:eastAsia="Times New Roman" w:hAnsi="Times New Roman"/>
          <w:sz w:val="22"/>
          <w:szCs w:val="22"/>
        </w:rPr>
        <w:t xml:space="preserve">Честная трактовка абсолютной ошибки — непреложный принцип проектирования. Каждый вектор, в котором декодированное значение отличается от входного, несёт ненулевое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никакое значение не подавляется и не округляется до нуля ради улучшения статистики совпадений.</w:t>
      </w:r>
    </w:p>
    <w:p>
      <w:pPr>
        <w:pStyle w:val="Heading1"/>
        <w:spacing w:after="140" w:before="280"/>
      </w:pPr>
      <w:r>
        <w:rPr>
          <w:rFonts w:ascii="Times New Roman" w:cs="Times New Roman" w:eastAsia="Times New Roman" w:hAnsi="Times New Roman"/>
          <w:b/>
          <w:bCs/>
          <w:color w:val="000000"/>
          <w:sz w:val="30"/>
          <w:szCs w:val="30"/>
        </w:rPr>
        <w:t xml:space="preserve">5. Шесть пакетов соответствия</w:t>
      </w:r>
    </w:p>
    <w:p>
      <w:pPr>
        <w:spacing w:after="120" w:line="360"/>
        <w:ind w:firstLine="283"/>
        <w:jc w:val="both"/>
      </w:pPr>
      <w:r>
        <w:rPr>
          <w:rFonts w:ascii="Times New Roman" w:cs="Times New Roman" w:eastAsia="Times New Roman" w:hAnsi="Times New Roman"/>
          <w:sz w:val="22"/>
          <w:szCs w:val="22"/>
        </w:rPr>
        <w:t xml:space="preserve">Таблица 4 даёт сводку по всем шести пакетам.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800"/>
        <w:gridCol w:w="2300"/>
        <w:gridCol w:w="1500"/>
        <w:gridCol w:w="1160"/>
      </w:tblGrid>
      <w:tr>
        <w:trPr>
          <w:tblHeader/>
        </w:trPr>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Пакет</w:t>
            </w:r>
          </w:p>
        </w:tc>
        <w:tc>
          <w:tcPr>
            <w:tcW w:type="dxa" w:w="2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Раскладка</w:t>
            </w:r>
          </w:p>
        </w:tc>
        <w:tc>
          <w:tcPr>
            <w:tcW w:type="dxa" w:w="8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Век-ры</w:t>
            </w:r>
          </w:p>
        </w:tc>
        <w:tc>
          <w:tcPr>
            <w:tcW w:type="dxa" w:w="2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Совпадение ml_dtypes</w:t>
            </w:r>
          </w:p>
        </w:tc>
        <w:tc>
          <w:tcPr>
            <w:tcW w:type="dxa" w:w="1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Статус</w:t>
            </w:r>
          </w:p>
        </w:tc>
        <w:tc>
          <w:tcPr>
            <w:tcW w:type="dxa" w:w="11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SHA-256 (16)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GF16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S1E5M10, привязка к φ</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н/п (нет аналога в ml_dtypes)</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LIVE v0.3.1</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см. репозиторий</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MXFP4</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S1E2M1, элемент блока</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н/п</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LIVE v0.3.1</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86c99d6f72375d75</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BF16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S1E8M7 bias=127, RTE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21/21</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320c1850b4846745</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E4M3</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S1E4M3 bias=7, SatMax</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15/16 (раздел 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fff0c30f8e6bee22</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E5M2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S1E5M2 bias=15, OvfInf</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17</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17/17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66cd7be1500ec800</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block</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только масштаб, без знака</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согласован с OCP MX v1.0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b211f1a863f71fd7</w:t>
            </w:r>
          </w:p>
        </w:tc>
      </w:tr>
    </w:tbl>
    <w:p>
      <w:pPr>
        <w:spacing w:after="160" w:before="60"/>
        <w:jc w:val="center"/>
      </w:pPr>
      <w:r>
        <w:rPr>
          <w:rFonts w:ascii="Times New Roman" w:cs="Times New Roman" w:eastAsia="Times New Roman" w:hAnsi="Times New Roman"/>
          <w:i/>
          <w:iCs/>
          <w:sz w:val="20"/>
          <w:szCs w:val="20"/>
        </w:rPr>
        <w:t xml:space="preserve">Таблица 4. Шесть пакетов с первого взгляда (T4).</w:t>
      </w:r>
    </w:p>
    <w:p>
      <w:pPr>
        <w:spacing w:after="120" w:line="360"/>
        <w:ind w:firstLine="283"/>
        <w:jc w:val="both"/>
      </w:pPr>
      <w:r>
        <w:rPr>
          <w:rFonts w:ascii="Times New Roman" w:cs="Times New Roman" w:eastAsia="Times New Roman" w:hAnsi="Times New Roman"/>
          <w:sz w:val="22"/>
          <w:szCs w:val="22"/>
        </w:rPr>
        <w:t xml:space="preserve">Полные отпечатки SHA-256 (дословно из манифеста):</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GF16: </w:t>
      </w:r>
      <w:r>
        <w:rPr>
          <w:rFonts w:ascii="Consolas" w:cs="Consolas" w:eastAsia="Consolas" w:hAnsi="Consolas"/>
          <w:sz w:val="18"/>
          <w:szCs w:val="18"/>
        </w:rPr>
        <w:t xml:space="preserve">см. репозиторий (SHA-256 пока не закреплён в манифесте v0.4.0-pre)</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MXFP4: </w:t>
      </w:r>
      <w:r>
        <w:rPr>
          <w:rFonts w:ascii="Consolas" w:cs="Consolas" w:eastAsia="Consolas" w:hAnsi="Consolas"/>
          <w:sz w:val="18"/>
          <w:szCs w:val="18"/>
        </w:rPr>
        <w:t xml:space="preserve">86c99d6f72375d751df4c74897904a0a36cff52e8d60cbfef5d58b71625d4b2f</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BF16: </w:t>
      </w:r>
      <w:r>
        <w:rPr>
          <w:rFonts w:ascii="Consolas" w:cs="Consolas" w:eastAsia="Consolas" w:hAnsi="Consolas"/>
          <w:sz w:val="18"/>
          <w:szCs w:val="18"/>
        </w:rPr>
        <w:t xml:space="preserve">320c1850b484674546785791b1c22d76feb4ea748c6669ffb633e5455d822b8a</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FP8 E4M3: </w:t>
      </w:r>
      <w:r>
        <w:rPr>
          <w:rFonts w:ascii="Consolas" w:cs="Consolas" w:eastAsia="Consolas" w:hAnsi="Consolas"/>
          <w:sz w:val="18"/>
          <w:szCs w:val="18"/>
        </w:rPr>
        <w:t xml:space="preserve">fff0c30f8e6bee22b1a7d0e0e1cff65edde9d2b17ebf97dba0539973f0a5e89d</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FP8 E5M2: </w:t>
      </w:r>
      <w:r>
        <w:rPr>
          <w:rFonts w:ascii="Consolas" w:cs="Consolas" w:eastAsia="Consolas" w:hAnsi="Consolas"/>
          <w:sz w:val="18"/>
          <w:szCs w:val="18"/>
        </w:rPr>
        <w:t xml:space="preserve">66cd7be1500ec8003eb5dee7532bb4e954b7bc0084b6f22a75d02f7842f23a56</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E8M0 block: </w:t>
      </w:r>
      <w:r>
        <w:rPr>
          <w:rFonts w:ascii="Consolas" w:cs="Consolas" w:eastAsia="Consolas" w:hAnsi="Consolas"/>
          <w:sz w:val="18"/>
          <w:szCs w:val="18"/>
        </w:rPr>
        <w:t xml:space="preserve">b211f1a863f71fd7c5e02e512efff0255ebcc51521311186e01cb9992e4464bd</w:t>
      </w:r>
    </w:p>
    <w:p>
      <w:pPr>
        <w:pStyle w:val="Heading2"/>
        <w:spacing w:after="110" w:before="220"/>
      </w:pPr>
      <w:r>
        <w:rPr>
          <w:rFonts w:ascii="Times New Roman" w:cs="Times New Roman" w:eastAsia="Times New Roman" w:hAnsi="Times New Roman"/>
          <w:b/>
          <w:bCs/>
          <w:color w:val="000000"/>
          <w:sz w:val="26"/>
          <w:szCs w:val="26"/>
        </w:rPr>
        <w:t xml:space="preserve">5.1. GF16 — GoldenFloat 16-бит</w:t>
      </w:r>
    </w:p>
    <w:p>
      <w:pPr>
        <w:spacing w:after="120" w:line="360"/>
        <w:ind w:firstLine="283"/>
        <w:jc w:val="both"/>
      </w:pPr>
      <w:r>
        <w:rPr>
          <w:rFonts w:ascii="Times New Roman" w:cs="Times New Roman" w:eastAsia="Times New Roman" w:hAnsi="Times New Roman"/>
          <w:sz w:val="22"/>
          <w:szCs w:val="22"/>
        </w:rPr>
        <w:t xml:space="preserve">GF16 — это 16-битный формат с раскладкой S1E5M10 и φ-поворотом представимого диапазона. Он описан и обоснован в препринте GoldenFloat. Пакет содержит 21 вектор, охватывающий нуль, нормальные значения, якорь 3,0 (кодирующий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ур. (1)), субнормальные числа и поведение при переполнении. Поскольку ml_dtypes не реализует тип GF16, у этого пакета нет партнёра для перекрёстной проверки; его векторы верифицируются только самопроверкой циклическим кодированием-декодированием. GF16 доступен в PyPI-пакете </w:t>
      </w:r>
      <w:r>
        <w:rPr>
          <w:rFonts w:ascii="Consolas" w:cs="Consolas" w:eastAsia="Consolas" w:hAnsi="Consolas"/>
          <w:sz w:val="22"/>
          <w:szCs w:val="22"/>
        </w:rPr>
        <w:t xml:space="preserve">tt-lang-t27</w:t>
      </w:r>
      <w:r>
        <w:rPr>
          <w:rFonts w:ascii="Times New Roman" w:cs="Times New Roman" w:eastAsia="Times New Roman" w:hAnsi="Times New Roman"/>
          <w:sz w:val="22"/>
          <w:szCs w:val="22"/>
        </w:rPr>
        <w:t xml:space="preserve"> начиная с версии v0.3.1.</w:t>
      </w:r>
    </w:p>
    <w:p>
      <w:pPr>
        <w:pStyle w:val="Heading2"/>
        <w:spacing w:after="110" w:before="220"/>
      </w:pPr>
      <w:r>
        <w:rPr>
          <w:rFonts w:ascii="Times New Roman" w:cs="Times New Roman" w:eastAsia="Times New Roman" w:hAnsi="Times New Roman"/>
          <w:b/>
          <w:bCs/>
          <w:color w:val="000000"/>
          <w:sz w:val="26"/>
          <w:szCs w:val="26"/>
        </w:rPr>
        <w:t xml:space="preserve">5.2. Элемент MXFP4 — OCP Microscaling 4-бит</w:t>
      </w:r>
    </w:p>
    <w:p>
      <w:pPr>
        <w:spacing w:after="120" w:line="360"/>
        <w:ind w:firstLine="283"/>
        <w:jc w:val="both"/>
      </w:pPr>
      <w:r>
        <w:rPr>
          <w:rFonts w:ascii="Times New Roman" w:cs="Times New Roman" w:eastAsia="Times New Roman" w:hAnsi="Times New Roman"/>
          <w:sz w:val="22"/>
          <w:szCs w:val="22"/>
        </w:rPr>
        <w:t xml:space="preserve">Элемент MXFP4 использует раскладку S1E2M1 (1 бит знака, 2 бита порядка, 1 бит мантиссы) с политикой переполнения «насыщение до конечного», как указано в OCP MX v1.0. В пределах блока 32 таких элемента разделяют масштабный множитель E8M0. Пакет элемента охватывает 12 векторов, выбранных из представимых конечных значений элемента, включая нуль и случай насыщения. На момент написания ml_dtypes не предоставляет тип элемента MXFP4; пакет верифицируется самопроверкой циклическим кодированием-декодированием и сравнивается с таблицей значений OCP MX v1.0. SHA-256: </w:t>
      </w:r>
      <w:r>
        <w:rPr>
          <w:rFonts w:ascii="Consolas" w:cs="Consolas" w:eastAsia="Consolas" w:hAnsi="Consolas"/>
          <w:sz w:val="18"/>
          <w:szCs w:val="18"/>
        </w:rPr>
        <w:t xml:space="preserve">86c99d6f72375d751df4c74897904a0a36cff52e8d60cbfef5d58b71625d4b2f</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5.3. BF16 — Brain Float 16</w:t>
      </w:r>
    </w:p>
    <w:p>
      <w:pPr>
        <w:spacing w:after="120" w:line="360"/>
        <w:ind w:firstLine="283"/>
        <w:jc w:val="both"/>
      </w:pPr>
      <w:r>
        <w:rPr>
          <w:rFonts w:ascii="Times New Roman" w:cs="Times New Roman" w:eastAsia="Times New Roman" w:hAnsi="Times New Roman"/>
          <w:sz w:val="22"/>
          <w:szCs w:val="22"/>
        </w:rPr>
        <w:t xml:space="preserve">BF16 использует раскладку S1E8M7 со смещением порядка = 127, округлением к ближайшему чётному (RTE) и обработкой бесконечности и NaN в стиле IEEE 754. Он занимает старшие 16 бит FP32-слова, так что преобразование в/из FP32 — это простое усечение (с округлением). Пакет содержит 21 вектор, включая: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Положительный и отрицательный нуль</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Положительную и отрицательную бесконечность (сохраняются точно)</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Тихий NaN (сохраняется с полезной нагрузкой)</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Наименьшее положительное нормальное и субнормальное</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Наибольшее конечное BF16 (≈ 3,39 × 10³⁸)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Два случая середины RTE (поведение округления к чётному)</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Переполнение FP32-максимума в BF16 +∞ (abs_error = +∞)</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Потеря значимости FP32-минимума-субнормали в BF16 +0</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Неточные константы φ и 1/φ с ненулевой abs_error</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Якорный вектор при 3,0 (точно, abs_error = 0)</w:t>
      </w:r>
    </w:p>
    <w:p>
      <w:pPr>
        <w:spacing w:after="120" w:line="360"/>
        <w:ind w:firstLine="283"/>
        <w:jc w:val="both"/>
      </w:pPr>
      <w:r>
        <w:rPr>
          <w:rFonts w:ascii="Times New Roman" w:cs="Times New Roman" w:eastAsia="Times New Roman" w:hAnsi="Times New Roman"/>
          <w:sz w:val="22"/>
          <w:szCs w:val="22"/>
        </w:rPr>
        <w:t xml:space="preserve">Все 21 вектор совпадают с </w:t>
      </w:r>
      <w:r>
        <w:rPr>
          <w:rFonts w:ascii="Consolas" w:cs="Consolas" w:eastAsia="Consolas" w:hAnsi="Consolas"/>
          <w:sz w:val="22"/>
          <w:szCs w:val="22"/>
        </w:rPr>
        <w:t xml:space="preserve">ml_dtypes.bfloat16</w:t>
      </w:r>
      <w:r>
        <w:rPr>
          <w:rFonts w:ascii="Times New Roman" w:cs="Times New Roman" w:eastAsia="Times New Roman" w:hAnsi="Times New Roman"/>
          <w:sz w:val="22"/>
          <w:szCs w:val="22"/>
        </w:rPr>
        <w:t xml:space="preserve"> (Google/JAX 0.5.4): 21/21. SHA-256: </w:t>
      </w:r>
      <w:r>
        <w:rPr>
          <w:rFonts w:ascii="Consolas" w:cs="Consolas" w:eastAsia="Consolas" w:hAnsi="Consolas"/>
          <w:sz w:val="18"/>
          <w:szCs w:val="18"/>
        </w:rPr>
        <w:t xml:space="preserve">320c1850b484674546785791b1c22d76feb4ea748c6669ffb633e5455d822b8a</w:t>
      </w:r>
      <w:r>
        <w:rPr>
          <w:rFonts w:ascii="Times New Roman" w:cs="Times New Roman" w:eastAsia="Times New Roman" w:hAnsi="Times New Roman"/>
          <w:sz w:val="22"/>
          <w:szCs w:val="22"/>
        </w:rPr>
        <w:t xml:space="preserve">.</w:t>
      </w:r>
    </w:p>
    <w:p>
      <w:pPr>
        <w:spacing w:after="120" w:line="360"/>
        <w:ind w:firstLine="283"/>
        <w:jc w:val="both"/>
      </w:pPr>
      <w:r>
        <w:rPr>
          <w:rFonts w:ascii="Times New Roman" w:cs="Times New Roman" w:eastAsia="Times New Roman" w:hAnsi="Times New Roman"/>
          <w:sz w:val="22"/>
          <w:szCs w:val="22"/>
        </w:rPr>
        <w:t xml:space="preserve">BF16 демонстрирует высокое межвендорное согласие; Google bfloat16, Intel BFLOAT16, ARM BFloat16 и BF16, сопряжённый с NVIDIA TF32, разделяют одну и ту же семантику sub/inf/NaN в стиле IEEE 754 с округлением к ближайшему чётному на младших 16 битах FP32. В 21 протестированном граничном случае заметных расхождений не наблюдалось.</w:t>
      </w:r>
    </w:p>
    <w:p>
      <w:pPr>
        <w:pStyle w:val="Heading2"/>
        <w:spacing w:after="110" w:before="220"/>
      </w:pPr>
      <w:r>
        <w:rPr>
          <w:rFonts w:ascii="Times New Roman" w:cs="Times New Roman" w:eastAsia="Times New Roman" w:hAnsi="Times New Roman"/>
          <w:b/>
          <w:bCs/>
          <w:color w:val="000000"/>
          <w:sz w:val="26"/>
          <w:szCs w:val="26"/>
        </w:rPr>
        <w:t xml:space="preserve">5.4. FP8 E4M3 — восьмибитный float с четырёхбитным порядком</w:t>
      </w:r>
    </w:p>
    <w:p>
      <w:pPr>
        <w:spacing w:after="120" w:line="360"/>
        <w:ind w:firstLine="283"/>
        <w:jc w:val="both"/>
      </w:pPr>
      <w:r>
        <w:rPr>
          <w:rFonts w:ascii="Times New Roman" w:cs="Times New Roman" w:eastAsia="Times New Roman" w:hAnsi="Times New Roman"/>
          <w:sz w:val="22"/>
          <w:szCs w:val="22"/>
        </w:rPr>
        <w:t xml:space="preserve">FP8 E4M3 использует раскладку S1E4M3 со смещением порядка = 7. В варианте OCP MX (используемом здесь) бесконечность заменена дополнительными конечными значениями, а NaN кодируется битовым паттерном </w:t>
      </w:r>
      <w:r>
        <w:rPr>
          <w:rFonts w:ascii="Consolas" w:cs="Consolas" w:eastAsia="Consolas" w:hAnsi="Consolas"/>
          <w:sz w:val="22"/>
          <w:szCs w:val="22"/>
        </w:rPr>
        <w:t xml:space="preserve">0x7F</w:t>
      </w:r>
      <w:r>
        <w:rPr>
          <w:rFonts w:ascii="Times New Roman" w:cs="Times New Roman" w:eastAsia="Times New Roman" w:hAnsi="Times New Roman"/>
          <w:sz w:val="22"/>
          <w:szCs w:val="22"/>
        </w:rPr>
        <w:t xml:space="preserve"> (или </w:t>
      </w:r>
      <w:r>
        <w:rPr>
          <w:rFonts w:ascii="Consolas" w:cs="Consolas" w:eastAsia="Consolas" w:hAnsi="Consolas"/>
          <w:sz w:val="22"/>
          <w:szCs w:val="22"/>
        </w:rPr>
        <w:t xml:space="preserve">0xFF</w:t>
      </w:r>
      <w:r>
        <w:rPr>
          <w:rFonts w:ascii="Times New Roman" w:cs="Times New Roman" w:eastAsia="Times New Roman" w:hAnsi="Times New Roman"/>
          <w:sz w:val="22"/>
          <w:szCs w:val="22"/>
        </w:rPr>
        <w:t xml:space="preserve"> для отрицательных). Таким образом, формат не имеет +∞, что даёт максимальное конечное значение 448,0.</w:t>
      </w:r>
    </w:p>
    <w:p>
      <w:pPr>
        <w:spacing w:after="120" w:line="360"/>
        <w:ind w:firstLine="283"/>
        <w:jc w:val="both"/>
      </w:pPr>
      <w:r>
        <w:rPr>
          <w:rFonts w:ascii="Times New Roman" w:cs="Times New Roman" w:eastAsia="Times New Roman" w:hAnsi="Times New Roman"/>
          <w:sz w:val="22"/>
          <w:szCs w:val="22"/>
        </w:rPr>
        <w:t xml:space="preserve">Пакет содержит 16 векторов. 15 из 16 точно совпадают с </w:t>
      </w:r>
      <w:r>
        <w:rPr>
          <w:rFonts w:ascii="Consolas" w:cs="Consolas" w:eastAsia="Consolas" w:hAnsi="Consolas"/>
          <w:sz w:val="22"/>
          <w:szCs w:val="22"/>
        </w:rPr>
        <w:t xml:space="preserve">ml_dtypes.float8_e4m3fn</w:t>
      </w:r>
      <w:r>
        <w:rPr>
          <w:rFonts w:ascii="Times New Roman" w:cs="Times New Roman" w:eastAsia="Times New Roman" w:hAnsi="Times New Roman"/>
          <w:sz w:val="22"/>
          <w:szCs w:val="22"/>
        </w:rPr>
        <w:t xml:space="preserve">. Единственное задокументированное расхождение — случай переполнения для входа 1000,0, подробно описанный в таблице 5 и обсуждаемый в разделе 7. SHA-256: </w:t>
      </w:r>
      <w:r>
        <w:rPr>
          <w:rFonts w:ascii="Consolas" w:cs="Consolas" w:eastAsia="Consolas" w:hAnsi="Consolas"/>
          <w:sz w:val="18"/>
          <w:szCs w:val="18"/>
        </w:rPr>
        <w:t xml:space="preserve">fff0c30f8e6bee22b1a7d0e0e1cff65edde9d2b17ebf97dba0539973f0a5e89d</w:t>
      </w:r>
      <w:r>
        <w:rPr>
          <w:rFonts w:ascii="Times New Roman" w:cs="Times New Roman" w:eastAsia="Times New Roman" w:hAnsi="Times New Roman"/>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1100"/>
        <w:gridCol w:w="2030"/>
        <w:gridCol w:w="2030"/>
      </w:tblGrid>
      <w:tr>
        <w:trPr>
          <w:tblHeader/>
        </w:trPr>
        <w:tc>
          <w:tcPr>
            <w:tcW w:type="dxa" w:w="12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Вход</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Реализация</w:t>
            </w:r>
          </w:p>
        </w:tc>
        <w:tc>
          <w:tcPr>
            <w:tcW w:type="dxa" w:w="11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Биты</w:t>
            </w:r>
          </w:p>
        </w:tc>
        <w:tc>
          <w:tcPr>
            <w:tcW w:type="dxa" w:w="203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Декодировано</w:t>
            </w:r>
          </w:p>
        </w:tc>
        <w:tc>
          <w:tcPr>
            <w:tcW w:type="dxa" w:w="203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Политика</w:t>
            </w:r>
          </w:p>
        </w:tc>
      </w:tr>
      <w:t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1000,0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этот пакет (конвенция tt-metal/AMD)</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0x7E</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448,0 (max-finite)</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насыщение до максимума</w:t>
            </w:r>
          </w:p>
        </w:tc>
      </w:tr>
      <w:t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1000,0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ml_dtypes 0.5.4 (конвенция JAX/TPU)</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0x7F</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NaN</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переполнение в NaN</w:t>
            </w:r>
          </w:p>
        </w:tc>
      </w:tr>
    </w:tbl>
    <w:p>
      <w:pPr>
        <w:spacing w:after="120" w:line="360"/>
        <w:ind w:firstLine="283"/>
        <w:jc w:val="both"/>
      </w:pPr>
      <w:r>
        <w:rPr>
          <w:rFonts w:ascii="Times New Roman" w:cs="Times New Roman" w:eastAsia="Times New Roman" w:hAnsi="Times New Roman"/>
          <w:i/>
          <w:iCs/>
          <w:sz w:val="18"/>
          <w:szCs w:val="18"/>
        </w:rPr>
        <w:t xml:space="preserve">Оба варианта разрешены OCP MX v1.0. См. раздел 7.</w:t>
      </w:r>
    </w:p>
    <w:p>
      <w:pPr>
        <w:spacing w:after="160" w:before="60"/>
        <w:jc w:val="center"/>
      </w:pPr>
      <w:r>
        <w:rPr>
          <w:rFonts w:ascii="Times New Roman" w:cs="Times New Roman" w:eastAsia="Times New Roman" w:hAnsi="Times New Roman"/>
          <w:i/>
          <w:iCs/>
          <w:sz w:val="20"/>
          <w:szCs w:val="20"/>
        </w:rPr>
        <w:t xml:space="preserve">Таблица 5. Интерпретационный разрыв при переполнении FP8 E4M3 для входа 1000,0 (T5).</w:t>
      </w:r>
    </w:p>
    <w:p>
      <w:pPr>
        <w:pStyle w:val="Heading2"/>
        <w:spacing w:after="110" w:before="220"/>
      </w:pPr>
      <w:r>
        <w:rPr>
          <w:rFonts w:ascii="Times New Roman" w:cs="Times New Roman" w:eastAsia="Times New Roman" w:hAnsi="Times New Roman"/>
          <w:b/>
          <w:bCs/>
          <w:color w:val="000000"/>
          <w:sz w:val="26"/>
          <w:szCs w:val="26"/>
        </w:rPr>
        <w:t xml:space="preserve">5.5. FP8 E5M2 — восьмибитный float с пятибитным порядком</w:t>
      </w:r>
    </w:p>
    <w:p>
      <w:pPr>
        <w:spacing w:after="120" w:line="360"/>
        <w:ind w:firstLine="283"/>
        <w:jc w:val="both"/>
      </w:pPr>
      <w:r>
        <w:rPr>
          <w:rFonts w:ascii="Times New Roman" w:cs="Times New Roman" w:eastAsia="Times New Roman" w:hAnsi="Times New Roman"/>
          <w:sz w:val="22"/>
          <w:szCs w:val="22"/>
        </w:rPr>
        <w:t xml:space="preserve">FP8 E5M2 использует раскладку S1E5M2 со смещением порядка = 15 и сохраняет полноценные бесконечность и NaN в стиле IEEE 754. Максимальное конечное значение — 57344,0. Пакет содержит 17 векторов, охватывающих полный набор граничных случаев (нуль, нормальные, субнормальные, ±∞, NaN, переполнение, потеря значимости, середины RTE и якорь 3,0). Все 17 векторов точно совпадают с </w:t>
      </w:r>
      <w:r>
        <w:rPr>
          <w:rFonts w:ascii="Consolas" w:cs="Consolas" w:eastAsia="Consolas" w:hAnsi="Consolas"/>
          <w:sz w:val="22"/>
          <w:szCs w:val="22"/>
        </w:rPr>
        <w:t xml:space="preserve">ml_dtypes.float8_e5m2</w:t>
      </w:r>
      <w:r>
        <w:rPr>
          <w:rFonts w:ascii="Times New Roman" w:cs="Times New Roman" w:eastAsia="Times New Roman" w:hAnsi="Times New Roman"/>
          <w:sz w:val="22"/>
          <w:szCs w:val="22"/>
        </w:rPr>
        <w:t xml:space="preserve">: 17/17. SHA-256: </w:t>
      </w:r>
      <w:r>
        <w:rPr>
          <w:rFonts w:ascii="Consolas" w:cs="Consolas" w:eastAsia="Consolas" w:hAnsi="Consolas"/>
          <w:sz w:val="18"/>
          <w:szCs w:val="18"/>
        </w:rPr>
        <w:t xml:space="preserve">66cd7be1500ec8003eb5dee7532bb4e954b7bc0084b6f22a75d02f7842f23a56</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5.6. Блочный масштаб E8M0 — масштабный формат OCP Microscaling</w:t>
      </w:r>
    </w:p>
    <w:p>
      <w:pPr>
        <w:spacing w:after="120" w:line="360"/>
        <w:ind w:firstLine="283"/>
        <w:jc w:val="both"/>
      </w:pPr>
      <w:r>
        <w:rPr>
          <w:rFonts w:ascii="Times New Roman" w:cs="Times New Roman" w:eastAsia="Times New Roman" w:hAnsi="Times New Roman"/>
          <w:sz w:val="22"/>
          <w:szCs w:val="22"/>
        </w:rPr>
        <w:t xml:space="preserve">E8M0 — формат «только масштаб», используемый как общий блочный порядок в блоках OCP MX. Он не несёт ни бита знака, ни мантиссы — только 8 бит порядка, представляющих степени 2 в диапазоне [2⁻¹²⁷, 2¹²⁷]. Специальный паттерн </w:t>
      </w:r>
      <w:r>
        <w:rPr>
          <w:rFonts w:ascii="Consolas" w:cs="Consolas" w:eastAsia="Consolas" w:hAnsi="Consolas"/>
          <w:sz w:val="22"/>
          <w:szCs w:val="22"/>
        </w:rPr>
        <w:t xml:space="preserve">0xFF</w:t>
      </w:r>
      <w:r>
        <w:rPr>
          <w:rFonts w:ascii="Times New Roman" w:cs="Times New Roman" w:eastAsia="Times New Roman" w:hAnsi="Times New Roman"/>
          <w:sz w:val="22"/>
          <w:szCs w:val="22"/>
        </w:rPr>
        <w:t xml:space="preserve"> кодирует NaN (используется для обозначения неинициализированного или недопустимого масштаба). Пакет содержит 11 векторов, охватывающих представительные значения масштаба, сторожевое значение NaN и якорь 3,0 (который кодируется в ближайший представимый масштаб-степень-двойки, 2¹ = 2, с задокументированной ненулевой abs_error). Векторы были перегенерированы относительно </w:t>
      </w:r>
      <w:r>
        <w:rPr>
          <w:rFonts w:ascii="Consolas" w:cs="Consolas" w:eastAsia="Consolas" w:hAnsi="Consolas"/>
          <w:sz w:val="22"/>
          <w:szCs w:val="22"/>
        </w:rPr>
        <w:t xml:space="preserve">ml_dtypes.float8_e8m0fnu</w:t>
      </w:r>
      <w:r>
        <w:rPr>
          <w:rFonts w:ascii="Times New Roman" w:cs="Times New Roman" w:eastAsia="Times New Roman" w:hAnsi="Times New Roman"/>
          <w:sz w:val="22"/>
          <w:szCs w:val="22"/>
        </w:rPr>
        <w:t xml:space="preserve"> (Google/JAX 0.5.4) по семантике OCP MX v1.0. SHA-256: </w:t>
      </w:r>
      <w:r>
        <w:rPr>
          <w:rFonts w:ascii="Consolas" w:cs="Consolas" w:eastAsia="Consolas" w:hAnsi="Consolas"/>
          <w:sz w:val="18"/>
          <w:szCs w:val="18"/>
        </w:rPr>
        <w:t xml:space="preserve">b211f1a863f71fd7c5e02e512efff0255ebcc51521311186e01cb9992e4464bd</w:t>
      </w:r>
      <w:r>
        <w:rPr>
          <w:rFonts w:ascii="Times New Roman" w:cs="Times New Roman" w:eastAsia="Times New Roman" w:hAnsi="Times New Roman"/>
          <w:sz w:val="22"/>
          <w:szCs w:val="22"/>
        </w:rPr>
        <w:t xml:space="preserve">.</w:t>
      </w:r>
    </w:p>
    <w:p>
      <w:pPr>
        <w:pStyle w:val="Heading1"/>
        <w:spacing w:after="140" w:before="280"/>
      </w:pPr>
      <w:r>
        <w:rPr>
          <w:rFonts w:ascii="Times New Roman" w:cs="Times New Roman" w:eastAsia="Times New Roman" w:hAnsi="Times New Roman"/>
          <w:b/>
          <w:bCs/>
          <w:color w:val="000000"/>
          <w:sz w:val="30"/>
          <w:szCs w:val="30"/>
        </w:rPr>
        <w:t xml:space="preserve">6. Кросс-уолк к IEEE P3109</w:t>
      </w:r>
    </w:p>
    <w:p>
      <w:pPr>
        <w:spacing w:after="120" w:line="360"/>
        <w:ind w:firstLine="283"/>
        <w:jc w:val="both"/>
      </w:pPr>
      <w:r>
        <w:rPr>
          <w:rFonts w:ascii="Times New Roman" w:cs="Times New Roman" w:eastAsia="Times New Roman" w:hAnsi="Times New Roman"/>
          <w:sz w:val="22"/>
          <w:szCs w:val="22"/>
        </w:rPr>
        <w:t xml:space="preserve">IEEE P3109 — активная рабочая группа, стандартизирующая арифметику с плавающей точкой для приложений ИИ. Её промежуточный отчёт v3.2.0 определяет семейство конфигурируемых форматов, параметризованных тройкой (E, M, насыщение). Более широкое обоснование явного побитового тестирования соответствия в промышленной практике с плавающей точкой приводит Винтерстайгер (Wintersteiger) на ARITH 2025; пакеты в этой статье — конкретный пример такого подхода, нацеленный именно на реестр численных форматов ИИ. Там, где существует машинно-проверяемая семантика, например разработка P3109 FLoPS на Lean 4, кросс-уолк в таблице 6 служит мостом между доказательно проверенной спецификацией и битоточными тестовыми данными.</w:t>
      </w:r>
    </w:p>
    <w:p>
      <w:pPr>
        <w:spacing w:after="120" w:line="360"/>
        <w:ind w:firstLine="283"/>
        <w:jc w:val="both"/>
      </w:pPr>
      <w:r>
        <w:rPr>
          <w:rFonts w:ascii="Times New Roman" w:cs="Times New Roman" w:eastAsia="Times New Roman" w:hAnsi="Times New Roman"/>
          <w:sz w:val="22"/>
          <w:szCs w:val="22"/>
        </w:rPr>
        <w:t xml:space="preserve">Таблица 6 сопоставляет шесть пакетов с конфигурируемыми форматами P3109 v3.2.0.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300"/>
        <w:gridCol w:w="3360"/>
        <w:gridCol w:w="1800"/>
      </w:tblGrid>
      <w:tr>
        <w:trPr>
          <w:tblHeader/>
        </w:trPr>
        <w:tc>
          <w:tcPr>
            <w:tcW w:type="dxa" w:w="14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Наш формат</w:t>
            </w:r>
          </w:p>
        </w:tc>
        <w:tc>
          <w:tcPr>
            <w:tcW w:type="dxa" w:w="1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Имя P3109</w:t>
            </w:r>
          </w:p>
        </w:tc>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Совпадение</w:t>
            </w:r>
          </w:p>
        </w:tc>
        <w:tc>
          <w:tcPr>
            <w:tcW w:type="dxa" w:w="33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Ключевое различие</w:t>
            </w:r>
          </w:p>
        </w:tc>
        <w:tc>
          <w:tcPr>
            <w:tcW w:type="dxa" w:w="18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Пакет</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E4M3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Binary8p3se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Близкое</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Насыщение: у нас SatMax против OvfInf в P3109; кодирование NaN только конечными</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fp8_e4m3</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MXFP4 элемент</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Binary4p1sf</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Прямое</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Блочная структура ортогональна; элемент совпадает</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mxfp4</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GF16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не охватывает 16-битные форматы с привязкой к 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gf16</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BF16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фокусируется на 4/8-битных; BF16 — 16-битный</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bf16</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E5M2</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Binary8p2se соответствовал бы, но отсутствует в v3.2.0</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fp8_e5m2</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block</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Ортогонально</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не определяет формат «только масштаб»</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e8m0_block</w:t>
            </w:r>
          </w:p>
        </w:tc>
      </w:tr>
    </w:tbl>
    <w:p>
      <w:pPr>
        <w:spacing w:after="160" w:before="60"/>
        <w:jc w:val="center"/>
      </w:pPr>
      <w:r>
        <w:rPr>
          <w:rFonts w:ascii="Times New Roman" w:cs="Times New Roman" w:eastAsia="Times New Roman" w:hAnsi="Times New Roman"/>
          <w:i/>
          <w:iCs/>
          <w:sz w:val="20"/>
          <w:szCs w:val="20"/>
        </w:rPr>
        <w:t xml:space="preserve">Таблица 6. Кросс-уолк P3109 v3.2.0 для шести пакетов (T6).</w:t>
      </w:r>
    </w:p>
    <w:p>
      <w:pPr>
        <w:pStyle w:val="Heading2"/>
        <w:spacing w:after="110" w:before="220"/>
      </w:pPr>
      <w:r>
        <w:rPr>
          <w:rFonts w:ascii="Times New Roman" w:cs="Times New Roman" w:eastAsia="Times New Roman" w:hAnsi="Times New Roman"/>
          <w:b/>
          <w:bCs/>
          <w:color w:val="000000"/>
          <w:sz w:val="26"/>
          <w:szCs w:val="26"/>
        </w:rPr>
        <w:t xml:space="preserve">6.1. Прямые совпадения</w:t>
      </w:r>
    </w:p>
    <w:p>
      <w:pPr>
        <w:spacing w:after="120" w:line="360"/>
        <w:ind w:firstLine="283"/>
        <w:jc w:val="both"/>
      </w:pPr>
      <w:r>
        <w:rPr>
          <w:rFonts w:ascii="Times New Roman" w:cs="Times New Roman" w:eastAsia="Times New Roman" w:hAnsi="Times New Roman"/>
          <w:b/>
          <w:bCs/>
          <w:sz w:val="22"/>
          <w:szCs w:val="22"/>
        </w:rPr>
        <w:t xml:space="preserve">Binary8p3se ↔ FP8 E4M3. </w:t>
      </w:r>
      <w:r>
        <w:rPr>
          <w:rFonts w:ascii="Times New Roman" w:cs="Times New Roman" w:eastAsia="Times New Roman" w:hAnsi="Times New Roman"/>
          <w:sz w:val="22"/>
          <w:szCs w:val="22"/>
        </w:rPr>
        <w:t xml:space="preserve">P3109 Binary8p3se специфицирует S1E4M3 с насыщением OvfInf. Вариант FP8 E4M3 из OCP MX v1.0, используемый в этом пакете, применяет вместо этого SatMax. Различие — ровно тот интерпретационный разрыв при переполнении, что задокументирован в таблице 5. За исключением выбора политики насыщения, битовые раскладки и смещение порядка идентичны.</w:t>
      </w:r>
    </w:p>
    <w:p>
      <w:pPr>
        <w:spacing w:after="120" w:line="360"/>
        <w:ind w:firstLine="283"/>
        <w:jc w:val="both"/>
      </w:pPr>
      <w:r>
        <w:rPr>
          <w:rFonts w:ascii="Times New Roman" w:cs="Times New Roman" w:eastAsia="Times New Roman" w:hAnsi="Times New Roman"/>
          <w:b/>
          <w:bCs/>
          <w:sz w:val="22"/>
          <w:szCs w:val="22"/>
        </w:rPr>
        <w:t xml:space="preserve">Binary4p1sf ↔ MXFP4 элемент. </w:t>
      </w:r>
      <w:r>
        <w:rPr>
          <w:rFonts w:ascii="Times New Roman" w:cs="Times New Roman" w:eastAsia="Times New Roman" w:hAnsi="Times New Roman"/>
          <w:sz w:val="22"/>
          <w:szCs w:val="22"/>
        </w:rPr>
        <w:t xml:space="preserve">P3109 Binary4p1sf специфицирует S1E2M1 с SatFinite — идентично раскладке элемента MXFP4 в OCP MX v1.0. Единственное структурное различие в том, что OCP MX оборачивает элементы в 32-элементные блоки, разделяющие масштабный множитель E8M0 — блочное измерение, которое P3109 не рассматривает в v3.2.0.</w:t>
      </w:r>
    </w:p>
    <w:p>
      <w:pPr>
        <w:pStyle w:val="Heading2"/>
        <w:spacing w:after="110" w:before="220"/>
      </w:pPr>
      <w:r>
        <w:rPr>
          <w:rFonts w:ascii="Times New Roman" w:cs="Times New Roman" w:eastAsia="Times New Roman" w:hAnsi="Times New Roman"/>
          <w:b/>
          <w:bCs/>
          <w:color w:val="000000"/>
          <w:sz w:val="26"/>
          <w:szCs w:val="26"/>
        </w:rPr>
        <w:t xml:space="preserve">6.2. Частичные совпадения и несовпадения</w:t>
      </w:r>
    </w:p>
    <w:p>
      <w:pPr>
        <w:spacing w:after="120" w:line="360"/>
        <w:ind w:firstLine="283"/>
        <w:jc w:val="both"/>
      </w:pPr>
      <w:r>
        <w:rPr>
          <w:rFonts w:ascii="Times New Roman" w:cs="Times New Roman" w:eastAsia="Times New Roman" w:hAnsi="Times New Roman"/>
          <w:sz w:val="22"/>
          <w:szCs w:val="22"/>
        </w:rPr>
        <w:t xml:space="preserve">FP8 E5M2 отображался бы в гипотетический Binary8p2se, который отсутствует в профилях P3109 v3.2.0. GF16 и BF16 находятся вне 4/8-битной области, которую P3109 в настоящее время охватывает. E8M0 — формат «только масштаб», ортогональный уровню представления P3109.</w:t>
      </w:r>
    </w:p>
    <w:p>
      <w:pPr>
        <w:pStyle w:val="Heading2"/>
        <w:spacing w:after="110" w:before="220"/>
      </w:pPr>
      <w:r>
        <w:rPr>
          <w:rFonts w:ascii="Times New Roman" w:cs="Times New Roman" w:eastAsia="Times New Roman" w:hAnsi="Times New Roman"/>
          <w:b/>
          <w:bCs/>
          <w:color w:val="000000"/>
          <w:sz w:val="26"/>
          <w:szCs w:val="26"/>
        </w:rPr>
        <w:t xml:space="preserve">6.3. Охват операций</w:t>
      </w:r>
    </w:p>
    <w:p>
      <w:pPr>
        <w:spacing w:after="120" w:line="360"/>
        <w:ind w:firstLine="283"/>
        <w:jc w:val="both"/>
      </w:pPr>
      <w:r>
        <w:rPr>
          <w:rFonts w:ascii="Times New Roman" w:cs="Times New Roman" w:eastAsia="Times New Roman" w:hAnsi="Times New Roman"/>
          <w:sz w:val="22"/>
          <w:szCs w:val="22"/>
        </w:rPr>
        <w:t xml:space="preserve">Файл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стандарта P3109 перечисляет приблизительно 80 операций в семи категориях: классификация (8), сравнение (7), экстремумы (10+), округление проекцией (6 режимов), арифметика (10), трансцендентные функции (≈25) и блочные операции (40+).</w:t>
      </w:r>
    </w:p>
    <w:p>
      <w:pPr>
        <w:spacing w:after="120" w:line="360"/>
        <w:ind w:firstLine="283"/>
        <w:jc w:val="both"/>
      </w:pPr>
      <w:r>
        <w:rPr>
          <w:rFonts w:ascii="Times New Roman" w:cs="Times New Roman" w:eastAsia="Times New Roman" w:hAnsi="Times New Roman"/>
          <w:sz w:val="22"/>
          <w:szCs w:val="22"/>
        </w:rPr>
        <w:t xml:space="preserve">Текущий набор (v0.1) охватывает только уровень представления — битоточность кодирования/декодирования. Трек 2 (целевой срок III кв. 2026) расширит охват до уровня операций, как минимум округление NearestTiesToEven для сложения, умножения и FMA по всем шести форматам, с доказательно проверенной семантикой, взятой из P3109 FLoPS в качестве формального якоря.</w:t>
      </w:r>
    </w:p>
    <w:p>
      <w:pPr>
        <w:pStyle w:val="Heading1"/>
        <w:spacing w:after="140" w:before="280"/>
      </w:pPr>
      <w:r>
        <w:rPr>
          <w:rFonts w:ascii="Times New Roman" w:cs="Times New Roman" w:eastAsia="Times New Roman" w:hAnsi="Times New Roman"/>
          <w:b/>
          <w:bCs/>
          <w:color w:val="000000"/>
          <w:sz w:val="30"/>
          <w:szCs w:val="30"/>
        </w:rPr>
        <w:t xml:space="preserve">7. Обсуждение: интерпретационный разрыв как ценность линейки</w:t>
      </w:r>
    </w:p>
    <w:p>
      <w:pPr>
        <w:spacing w:after="120" w:line="360"/>
        <w:ind w:firstLine="283"/>
        <w:jc w:val="both"/>
      </w:pPr>
      <w:r>
        <w:rPr>
          <w:rFonts w:ascii="Times New Roman" w:cs="Times New Roman" w:eastAsia="Times New Roman" w:hAnsi="Times New Roman"/>
          <w:sz w:val="22"/>
          <w:szCs w:val="22"/>
        </w:rPr>
        <w:t xml:space="preserve">Набор тестов соответствия оправдывает себя не тогда, когда все векторы совпадают, а когда он вскрывает расхождение, которое иначе было бы невидимым. Два таких случая заслуживают явного упоминания: разрыв при переполнении FP8 E4M3 (раздел 7.1) и разрыв блочной структуры между MXFP4 и NVFP4 (раздел 7.2).</w:t>
      </w:r>
    </w:p>
    <w:p>
      <w:pPr>
        <w:pStyle w:val="Heading2"/>
        <w:spacing w:after="110" w:before="220"/>
      </w:pPr>
      <w:r>
        <w:rPr>
          <w:rFonts w:ascii="Times New Roman" w:cs="Times New Roman" w:eastAsia="Times New Roman" w:hAnsi="Times New Roman"/>
          <w:b/>
          <w:bCs/>
          <w:color w:val="000000"/>
          <w:sz w:val="26"/>
          <w:szCs w:val="26"/>
        </w:rPr>
        <w:t xml:space="preserve">7.1. Разрыв A: политика переполнения FP8 E4M3</w:t>
      </w:r>
    </w:p>
    <w:p>
      <w:pPr>
        <w:spacing w:after="120" w:line="360"/>
        <w:ind w:firstLine="283"/>
        <w:jc w:val="both"/>
      </w:pPr>
      <w:r>
        <w:rPr>
          <w:rFonts w:ascii="Times New Roman" w:cs="Times New Roman" w:eastAsia="Times New Roman" w:hAnsi="Times New Roman"/>
          <w:sz w:val="22"/>
          <w:szCs w:val="22"/>
        </w:rPr>
        <w:t xml:space="preserve">Случай переполнения FP8 E4M3 (вход = 1000,0) — канонический пример.</w:t>
      </w:r>
    </w:p>
    <w:p>
      <w:pPr>
        <w:spacing w:after="120" w:line="360"/>
        <w:ind w:firstLine="283"/>
        <w:jc w:val="both"/>
      </w:pPr>
      <w:r>
        <w:rPr>
          <w:rFonts w:ascii="Times New Roman" w:cs="Times New Roman" w:eastAsia="Times New Roman" w:hAnsi="Times New Roman"/>
          <w:sz w:val="22"/>
          <w:szCs w:val="22"/>
        </w:rPr>
        <w:t xml:space="preserve">Спецификация OCP MX v1.0 утверждает, что для входов, превышающих максимальное конечное значение (448,0 для E4M3), реализации могут либо насыщаться до максимального конечного, либо выдавать NaN. Две зрелые реализации промышленного качества делают разный выбор:</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Конвенция tt-metal (Tenstorrent) / AMD: </w:t>
      </w:r>
      <w:r>
        <w:rPr>
          <w:rFonts w:ascii="Times New Roman" w:cs="Times New Roman" w:eastAsia="Times New Roman" w:hAnsi="Times New Roman"/>
          <w:sz w:val="22"/>
          <w:szCs w:val="22"/>
        </w:rPr>
        <w:t xml:space="preserve">насыщение до максимального конечного. Битовый паттерн </w:t>
      </w:r>
      <w:r>
        <w:rPr>
          <w:rFonts w:ascii="Consolas" w:cs="Consolas" w:eastAsia="Consolas" w:hAnsi="Consolas"/>
          <w:sz w:val="22"/>
          <w:szCs w:val="22"/>
        </w:rPr>
        <w:t xml:space="preserve">0x7E</w:t>
      </w:r>
      <w:r>
        <w:rPr>
          <w:rFonts w:ascii="Times New Roman" w:cs="Times New Roman" w:eastAsia="Times New Roman" w:hAnsi="Times New Roman"/>
          <w:sz w:val="22"/>
          <w:szCs w:val="22"/>
        </w:rPr>
        <w:t xml:space="preserve">, декодированное значение 448,0. Этот пакет принимает данную конвенцию.</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Конвенция JAX/TPU (ml_dtypes 0.5.4): </w:t>
      </w:r>
      <w:r>
        <w:rPr>
          <w:rFonts w:ascii="Times New Roman" w:cs="Times New Roman" w:eastAsia="Times New Roman" w:hAnsi="Times New Roman"/>
          <w:sz w:val="22"/>
          <w:szCs w:val="22"/>
        </w:rPr>
        <w:t xml:space="preserve">переполнение в NaN. Битовый паттерн </w:t>
      </w:r>
      <w:r>
        <w:rPr>
          <w:rFonts w:ascii="Consolas" w:cs="Consolas" w:eastAsia="Consolas" w:hAnsi="Consolas"/>
          <w:sz w:val="22"/>
          <w:szCs w:val="22"/>
        </w:rPr>
        <w:t xml:space="preserve">0x7F</w:t>
      </w:r>
      <w:r>
        <w:rPr>
          <w:rFonts w:ascii="Times New Roman" w:cs="Times New Roman" w:eastAsia="Times New Roman" w:hAnsi="Times New Roman"/>
          <w:sz w:val="22"/>
          <w:szCs w:val="22"/>
        </w:rPr>
        <w:t xml:space="preserve">, декодированное значение NaN.</w:t>
      </w:r>
    </w:p>
    <w:p>
      <w:pPr>
        <w:spacing w:after="120" w:line="360"/>
        <w:ind w:firstLine="283"/>
        <w:jc w:val="both"/>
      </w:pPr>
      <w:r>
        <w:rPr>
          <w:rFonts w:ascii="Times New Roman" w:cs="Times New Roman" w:eastAsia="Times New Roman" w:hAnsi="Times New Roman"/>
          <w:sz w:val="22"/>
          <w:szCs w:val="22"/>
        </w:rPr>
        <w:t xml:space="preserve">Ни один из вариантов не является ошибкой. Оба соответствуют OCP MX v1.0. Расхождение — задокументированный разрешённый спецификацией интерпретационный разрыв.</w:t>
      </w:r>
    </w:p>
    <w:p>
      <w:pPr>
        <w:spacing w:after="120" w:line="360"/>
        <w:ind w:firstLine="283"/>
        <w:jc w:val="both"/>
      </w:pPr>
      <w:r>
        <w:rPr>
          <w:rFonts w:ascii="Times New Roman" w:cs="Times New Roman" w:eastAsia="Times New Roman" w:hAnsi="Times New Roman"/>
          <w:sz w:val="22"/>
          <w:szCs w:val="22"/>
        </w:rPr>
        <w:t xml:space="preserve">Практическое следствие значимо для авторов компиляторов и тестовых стендов. Любой межвендорный перенос вычисления FP8 E4M3 должен либо: (а) явно выбрать одну политику и задокументировать её, либо (б) нести оба вектора в своём эталонном наборе тестов, принимая, что входы из диапазона переполнения будут давать разные результаты на разном оборудовании.</w:t>
      </w:r>
    </w:p>
    <w:p>
      <w:pPr>
        <w:spacing w:after="120" w:line="360"/>
        <w:ind w:firstLine="283"/>
        <w:jc w:val="both"/>
      </w:pPr>
      <w:r>
        <w:rPr>
          <w:rFonts w:ascii="Times New Roman" w:cs="Times New Roman" w:eastAsia="Times New Roman" w:hAnsi="Times New Roman"/>
          <w:sz w:val="22"/>
          <w:szCs w:val="22"/>
        </w:rPr>
        <w:t xml:space="preserve">Именно это и призван вскрывать пакет соответствия. Набор тестов, который сравнивает лишь «совпадают ли выходы на этом оборудовании?», никогда не увидел бы этого расхождения — обе реализации проходят собственные тесты. Общий битоточный эталон делает разрыв видимым.</w:t>
      </w:r>
    </w:p>
    <w:p>
      <w:pPr>
        <w:pStyle w:val="Heading2"/>
        <w:spacing w:after="110" w:before="220"/>
      </w:pPr>
      <w:r>
        <w:rPr>
          <w:rFonts w:ascii="Times New Roman" w:cs="Times New Roman" w:eastAsia="Times New Roman" w:hAnsi="Times New Roman"/>
          <w:b/>
          <w:bCs/>
          <w:color w:val="000000"/>
          <w:sz w:val="26"/>
          <w:szCs w:val="26"/>
        </w:rPr>
        <w:t xml:space="preserve">7.2. Разрыв B: 4-битная блочная структура (MXFP4 против NVFP4)</w:t>
      </w:r>
    </w:p>
    <w:p>
      <w:pPr>
        <w:spacing w:after="120" w:line="360"/>
        <w:ind w:firstLine="283"/>
        <w:jc w:val="both"/>
      </w:pPr>
      <w:r>
        <w:rPr>
          <w:rFonts w:ascii="Times New Roman" w:cs="Times New Roman" w:eastAsia="Times New Roman" w:hAnsi="Times New Roman"/>
          <w:sz w:val="22"/>
          <w:szCs w:val="22"/>
        </w:rPr>
        <w:t xml:space="preserve">Второй класс интерпретационного разрыва возникает уровнем выше — на уровне блочной структуры, а не битового паттерна элемента. OCP MX MXFP4 и NVIDIA NVFP4 разделяют одну и ту же раскладку элемента S1E2M1 (так что пакеты элементов битоидентичны на 4-битном уровне), однако оборачивают этот элемент в блоки разной формы с по-разному квантованными полями масштаба. Таблица 7 резюмирует расхождение параметров.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Параметр</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OCP MX MXFP4</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NVIDIA NVFP4</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Раскладка элемента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S1E2M1 (4 бита)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S1E2M1 (4 бита)</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мантиссы (элемент)</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Размер блока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32 элемента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16 элементов</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Формат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E8M0 (8-бит)</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FP8 E4M3 (8-бит)</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порядка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8 (чистый порядок)</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мантиссы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3</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Динамический диапазон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2⁻¹²⁷ … 2¹²⁷</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 2⁻⁹ … 448</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Гранулярность масштаба на декаду</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 (только степени двойки)</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8 (3-битная мантисса)</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Бит/элемент с учётом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 + 8/32 = 4,25</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 + 8/16 = 4,50</w:t>
            </w:r>
          </w:p>
        </w:tc>
      </w:tr>
    </w:tbl>
    <w:p>
      <w:pPr>
        <w:spacing w:after="160" w:before="60"/>
        <w:jc w:val="center"/>
      </w:pPr>
      <w:r>
        <w:rPr>
          <w:rFonts w:ascii="Times New Roman" w:cs="Times New Roman" w:eastAsia="Times New Roman" w:hAnsi="Times New Roman"/>
          <w:i/>
          <w:iCs/>
          <w:sz w:val="20"/>
          <w:szCs w:val="20"/>
        </w:rPr>
        <w:t xml:space="preserve">Таблица 7. Параметры блочной структуры MXFP4 против NVFP4.</w:t>
      </w:r>
    </w:p>
    <w:p>
      <w:pPr>
        <w:spacing w:after="120" w:line="360"/>
        <w:ind w:firstLine="283"/>
        <w:jc w:val="both"/>
      </w:pPr>
      <w:r>
        <w:rPr>
          <w:rFonts w:ascii="Times New Roman" w:cs="Times New Roman" w:eastAsia="Times New Roman" w:hAnsi="Times New Roman"/>
          <w:sz w:val="22"/>
          <w:szCs w:val="22"/>
        </w:rPr>
        <w:t xml:space="preserve">Из таблицы параметров вытекают три структурных следствия:</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Различное разрешение масштаба. </w:t>
      </w:r>
      <w:r>
        <w:rPr>
          <w:rFonts w:ascii="Times New Roman" w:cs="Times New Roman" w:eastAsia="Times New Roman" w:hAnsi="Times New Roman"/>
          <w:sz w:val="22"/>
          <w:szCs w:val="22"/>
        </w:rPr>
        <w:t xml:space="preserve">E8M0 (MXFP4) квантует блочный масштаб до степени двойки; масштаб FP8 E4M3 в NVFP4 предлагает 2³ = 8 кодов мантиссы на двоичный порядок и потому разрешает внутриблочный динамический диапазон в восемь раз тоньше в пределах своего представимого диапазона.</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Различный диапазон масштаба. </w:t>
      </w:r>
      <w:r>
        <w:rPr>
          <w:rFonts w:ascii="Times New Roman" w:cs="Times New Roman" w:eastAsia="Times New Roman" w:hAnsi="Times New Roman"/>
          <w:sz w:val="22"/>
          <w:szCs w:val="22"/>
        </w:rPr>
        <w:t xml:space="preserve">E8M0 охватывает приблизительно 2²⁵⁴ двоичных порядков (с учётом зарезервированных кодов); FP8 E4M3 насыщается при 448 и теряет значимость ниже ≈ 2⁻⁹. Тензор, чей поблочный масштаб естественно лежит вне диапазона FP8, представим в MXFP4, но не в NVFP4 без перемасштабирования на более высоком уровне.</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Различный эффективный бюджет битов. </w:t>
      </w:r>
      <w:r>
        <w:rPr>
          <w:rFonts w:ascii="Times New Roman" w:cs="Times New Roman" w:eastAsia="Times New Roman" w:hAnsi="Times New Roman"/>
          <w:sz w:val="22"/>
          <w:szCs w:val="22"/>
        </w:rPr>
        <w:t xml:space="preserve">Поэлементное хранение составляет 4,25 бита для MXFP4 (32-элементный блок) против 4,50 бита для NVFP4 (16-элементный блок). Два формата не сравнимы напрямую по битам; любое сравнение коэффициентов сжатия должно учитывать эту разницу накладных расходов в 5,9 % у NVFP4.</w:t>
      </w:r>
    </w:p>
    <w:p>
      <w:pPr>
        <w:spacing w:after="120" w:line="360"/>
        <w:ind w:firstLine="283"/>
        <w:jc w:val="both"/>
      </w:pPr>
      <w:r>
        <w:rPr>
          <w:rFonts w:ascii="Times New Roman" w:cs="Times New Roman" w:eastAsia="Times New Roman" w:hAnsi="Times New Roman"/>
          <w:sz w:val="22"/>
          <w:szCs w:val="22"/>
        </w:rPr>
        <w:t xml:space="preserve">Поэтому тензор, сохранённый как MXFP4, и тот же тензор, сохранённый как NVFP4, могут совпадать по каждому битовому паттерну элемента, но различаться по декодированному значению, поскольку поблочный масштаб, на который они умножаются, использует другой (и по-другому квантованный) формат масштаба. Это структурный интерпретационный разрыв, а не разрыв значений: битоточность элемента не влечёт равенства декодированного тензора.</w:t>
      </w:r>
    </w:p>
    <w:p>
      <w:pPr>
        <w:spacing w:after="120" w:line="360"/>
        <w:ind w:firstLine="283"/>
        <w:jc w:val="both"/>
      </w:pPr>
      <w:r>
        <w:rPr>
          <w:rFonts w:ascii="Times New Roman" w:cs="Times New Roman" w:eastAsia="Times New Roman" w:hAnsi="Times New Roman"/>
          <w:sz w:val="22"/>
          <w:szCs w:val="22"/>
        </w:rPr>
        <w:t xml:space="preserve">Показание линейки симметрично разрыву A. И MXFP4, и NVFP4 — соответствующие реализации разумно спроектированного 4-битного блочного формата; они просто делают разный выбор блочной структуры. Межвендорное развёртывание 4-битных весов требует явного объявления используемого блочного формата (размер блока + формат масштаба), а не только раскладки элемента. Объявлений только об элементе («модель использует 4-битные веса в форме MXFP4») недостаточно.</w:t>
      </w:r>
    </w:p>
    <w:p>
      <w:pPr>
        <w:spacing w:after="120" w:line="360"/>
        <w:ind w:firstLine="283"/>
        <w:jc w:val="both"/>
      </w:pPr>
      <w:r>
        <w:rPr>
          <w:rFonts w:ascii="Times New Roman" w:cs="Times New Roman" w:eastAsia="Times New Roman" w:hAnsi="Times New Roman"/>
          <w:sz w:val="22"/>
          <w:szCs w:val="22"/>
        </w:rPr>
        <w:t xml:space="preserve">Настоящий каталог охватывает сторону MXFP4 этой пары как пакет уровня Tier-1 и перечисляет NVFP4 как ближайшего кандидата Трека 2 (раздел 9.1). Документирование структурного разрыва — первый шаг; парный пакет NVFP4 с совпадающей схемой и намеренным межпакетным вектором расхождения на представительной границе квантования масштаба закроет его.</w:t>
      </w:r>
    </w:p>
    <w:p>
      <w:pPr>
        <w:pStyle w:val="Heading2"/>
        <w:spacing w:after="110" w:before="220"/>
      </w:pPr>
      <w:r>
        <w:rPr>
          <w:rFonts w:ascii="Times New Roman" w:cs="Times New Roman" w:eastAsia="Times New Roman" w:hAnsi="Times New Roman"/>
          <w:b/>
          <w:bCs/>
          <w:color w:val="000000"/>
          <w:sz w:val="26"/>
          <w:szCs w:val="26"/>
        </w:rPr>
        <w:t xml:space="preserve">7.3. Общий паттерн: разрешённый спецификацией выбор как показание линейки</w:t>
      </w:r>
    </w:p>
    <w:p>
      <w:pPr>
        <w:spacing w:after="120" w:line="360"/>
        <w:ind w:firstLine="283"/>
        <w:jc w:val="both"/>
      </w:pPr>
      <w:r>
        <w:rPr>
          <w:rFonts w:ascii="Times New Roman" w:cs="Times New Roman" w:eastAsia="Times New Roman" w:hAnsi="Times New Roman"/>
          <w:sz w:val="22"/>
          <w:szCs w:val="22"/>
        </w:rPr>
        <w:t xml:space="preserve">Норма честности: каждый вектор в каждом пакете, где декодированное значение отличается от входного, несёт ненулевое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Переполнение в ±∞ показывает </w:t>
      </w:r>
      <w:r>
        <w:rPr>
          <w:rFonts w:ascii="Consolas" w:cs="Consolas" w:eastAsia="Consolas" w:hAnsi="Consolas"/>
          <w:sz w:val="22"/>
          <w:szCs w:val="22"/>
        </w:rPr>
        <w:t xml:space="preserve">abs_error = Inf</w:t>
      </w:r>
      <w:r>
        <w:rPr>
          <w:rFonts w:ascii="Times New Roman" w:cs="Times New Roman" w:eastAsia="Times New Roman" w:hAnsi="Times New Roman"/>
          <w:sz w:val="22"/>
          <w:szCs w:val="22"/>
        </w:rPr>
        <w:t xml:space="preserve">; потеря значимости до нуля показывает фактическую величину утраченного значения. Никакое поле abs_error не подавляется и не округляется до нуля ради улучшения статистики совпадений.</w:t>
      </w:r>
    </w:p>
    <w:p>
      <w:pPr>
        <w:pStyle w:val="Heading1"/>
        <w:spacing w:after="140" w:before="280"/>
      </w:pPr>
      <w:r>
        <w:rPr>
          <w:rFonts w:ascii="Times New Roman" w:cs="Times New Roman" w:eastAsia="Times New Roman" w:hAnsi="Times New Roman"/>
          <w:b/>
          <w:bCs/>
          <w:color w:val="000000"/>
          <w:sz w:val="30"/>
          <w:szCs w:val="30"/>
        </w:rPr>
        <w:t xml:space="preserve">8. Воспроизводимость и происхождение</w:t>
      </w:r>
    </w:p>
    <w:p>
      <w:pPr>
        <w:pStyle w:val="Heading2"/>
        <w:spacing w:after="110" w:before="220"/>
      </w:pPr>
      <w:r>
        <w:rPr>
          <w:rFonts w:ascii="Times New Roman" w:cs="Times New Roman" w:eastAsia="Times New Roman" w:hAnsi="Times New Roman"/>
          <w:b/>
          <w:bCs/>
          <w:color w:val="000000"/>
          <w:sz w:val="26"/>
          <w:szCs w:val="26"/>
        </w:rPr>
        <w:t xml:space="preserve">8.1. Исходные репозитории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gHashTag/t27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единый источник истины (SSOT) для каталога и пакетов соответствия уровня Tier-1. Здесь располагаются все JSON-файлы каталога, файлы пакетов, проверки инвариантов и шаблоны кодогенерации.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gHashTag/tt-lang-t27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github.com/gHashTag/tt-lang-t27</w:t>
      </w:r>
      <w:r>
        <w:rPr>
          <w:rFonts w:ascii="Times New Roman" w:cs="Times New Roman" w:eastAsia="Times New Roman" w:hAnsi="Times New Roman"/>
          <w:sz w:val="22"/>
          <w:szCs w:val="22"/>
        </w:rPr>
        <w:t xml:space="preserve">): зеркало на PyPI. Версия 0.3.1 доступна на PyPI (включает пакеты GF16 и MXFP4). Версия 0.4.0-pre, добавляющая четыре новых пакета, описанных в этой статье, доступна в PR #6.</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gHashTag/tt-trinity-corona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github.com/gHashTag/tt-trinity-corona</w:t>
      </w:r>
      <w:r>
        <w:rPr>
          <w:rFonts w:ascii="Times New Roman" w:cs="Times New Roman" w:eastAsia="Times New Roman" w:hAnsi="Times New Roman"/>
          <w:sz w:val="22"/>
          <w:szCs w:val="22"/>
        </w:rPr>
        <w:t xml:space="preserve">): контекст кремниевого оракула уровня Tier-2 для постсиликонного аудита на GF180MCU; упоминается здесь одной строкой для полноты.</w:t>
      </w:r>
    </w:p>
    <w:p>
      <w:pPr>
        <w:pStyle w:val="Heading2"/>
        <w:spacing w:after="110" w:before="220"/>
      </w:pPr>
      <w:r>
        <w:rPr>
          <w:rFonts w:ascii="Times New Roman" w:cs="Times New Roman" w:eastAsia="Times New Roman" w:hAnsi="Times New Roman"/>
          <w:b/>
          <w:bCs/>
          <w:color w:val="000000"/>
          <w:sz w:val="26"/>
          <w:szCs w:val="26"/>
        </w:rPr>
        <w:t xml:space="preserve">8.2. Эталонный инструмент</w:t>
      </w:r>
    </w:p>
    <w:p>
      <w:pPr>
        <w:spacing w:after="120" w:line="360"/>
        <w:ind w:firstLine="283"/>
        <w:jc w:val="both"/>
      </w:pPr>
      <w:r>
        <w:rPr>
          <w:rFonts w:ascii="Times New Roman" w:cs="Times New Roman" w:eastAsia="Times New Roman" w:hAnsi="Times New Roman"/>
          <w:sz w:val="22"/>
          <w:szCs w:val="22"/>
        </w:rPr>
        <w:t xml:space="preserve">Основной оракул для всей перекрёстной проверки —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0.5.4 (Google/JAX), доступный по адресу </w:t>
      </w:r>
      <w:r>
        <w:rPr>
          <w:rFonts w:ascii="Consolas" w:cs="Consolas" w:eastAsia="Consolas" w:hAnsi="Consolas"/>
          <w:sz w:val="22"/>
          <w:szCs w:val="22"/>
        </w:rPr>
        <w:t xml:space="preserve">github.com/jax-ml/ml_dtypes</w:t>
      </w:r>
      <w:r>
        <w:rPr>
          <w:rFonts w:ascii="Times New Roman" w:cs="Times New Roman" w:eastAsia="Times New Roman" w:hAnsi="Times New Roman"/>
          <w:sz w:val="22"/>
          <w:szCs w:val="22"/>
        </w:rPr>
        <w:t xml:space="preserve">. Конкретные используемые типы: </w:t>
      </w:r>
      <w:r>
        <w:rPr>
          <w:rFonts w:ascii="Consolas" w:cs="Consolas" w:eastAsia="Consolas" w:hAnsi="Consolas"/>
          <w:sz w:val="22"/>
          <w:szCs w:val="22"/>
        </w:rPr>
        <w:t xml:space="preserve">ml_dtypes.bfloat16</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ml_dtypes.float8_e4m3fn</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ml_dtypes.float8_e5m2</w:t>
      </w:r>
      <w:r>
        <w:rPr>
          <w:rFonts w:ascii="Times New Roman" w:cs="Times New Roman" w:eastAsia="Times New Roman" w:hAnsi="Times New Roman"/>
          <w:sz w:val="22"/>
          <w:szCs w:val="22"/>
        </w:rPr>
        <w:t xml:space="preserve"> и </w:t>
      </w:r>
      <w:r>
        <w:rPr>
          <w:rFonts w:ascii="Consolas" w:cs="Consolas" w:eastAsia="Consolas" w:hAnsi="Consolas"/>
          <w:sz w:val="22"/>
          <w:szCs w:val="22"/>
        </w:rPr>
        <w:t xml:space="preserve">ml_dtypes.float8_e8m0fnu</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8.3. Отпечаток якоря</w:t>
      </w:r>
    </w:p>
    <w:p>
      <w:pPr>
        <w:spacing w:after="120" w:line="360"/>
        <w:ind w:firstLine="283"/>
        <w:jc w:val="both"/>
      </w:pPr>
      <w:r>
        <w:rPr>
          <w:rFonts w:ascii="Times New Roman" w:cs="Times New Roman" w:eastAsia="Times New Roman" w:hAnsi="Times New Roman"/>
          <w:sz w:val="22"/>
          <w:szCs w:val="22"/>
        </w:rPr>
        <w:t xml:space="preserve">Якорное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(ур. (1)), формализованное в препринте GoldenFloat, имеет следующий канонический отпечаток SHA-256:</w:t>
      </w:r>
    </w:p>
    <w:p>
      <w:pPr>
        <w:spacing w:after="120" w:before="60"/>
        <w:jc w:val="center"/>
      </w:pPr>
      <w:r>
        <w:rPr>
          <w:rFonts w:ascii="Consolas" w:cs="Consolas" w:eastAsia="Consolas" w:hAnsi="Consolas"/>
          <w:sz w:val="18"/>
          <w:szCs w:val="18"/>
        </w:rPr>
        <w:t xml:space="preserve">218403e344779c890f302ad2c70af21fb765060dd794d793c7eacc1ef8f80e6b</w:t>
      </w:r>
    </w:p>
    <w:p>
      <w:pPr>
        <w:spacing w:after="120" w:line="360"/>
        <w:ind w:firstLine="283"/>
        <w:jc w:val="both"/>
      </w:pPr>
      <w:r>
        <w:rPr>
          <w:rFonts w:ascii="Times New Roman" w:cs="Times New Roman" w:eastAsia="Times New Roman" w:hAnsi="Times New Roman"/>
          <w:sz w:val="22"/>
          <w:szCs w:val="22"/>
        </w:rPr>
        <w:t xml:space="preserve">Этот отпечаток покрывает каноническую UTF-8-кодировку строки тождества и служит внеполосной проверкой того, что цитируется правильная якорная статья.</w:t>
      </w:r>
    </w:p>
    <w:p>
      <w:pPr>
        <w:pStyle w:val="Heading2"/>
        <w:spacing w:after="110" w:before="220"/>
      </w:pPr>
      <w:r>
        <w:rPr>
          <w:rFonts w:ascii="Times New Roman" w:cs="Times New Roman" w:eastAsia="Times New Roman" w:hAnsi="Times New Roman"/>
          <w:b/>
          <w:bCs/>
          <w:color w:val="000000"/>
          <w:sz w:val="26"/>
          <w:szCs w:val="26"/>
        </w:rPr>
        <w:t xml:space="preserve">8.4. Таблица происхождения пакетов</w:t>
      </w:r>
    </w:p>
    <w:p>
      <w:pPr>
        <w:spacing w:after="120" w:line="360"/>
        <w:ind w:firstLine="283"/>
        <w:jc w:val="both"/>
      </w:pPr>
      <w:r>
        <w:rPr>
          <w:rFonts w:ascii="Times New Roman" w:cs="Times New Roman" w:eastAsia="Times New Roman" w:hAnsi="Times New Roman"/>
          <w:sz w:val="22"/>
          <w:szCs w:val="22"/>
        </w:rPr>
        <w:t xml:space="preserve">Таблица 8 перечисляет путь в репозитории, ветку/PR и полный SHA-256 для каждого пакета.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900"/>
        <w:gridCol w:w="4460"/>
      </w:tblGrid>
      <w:tr>
        <w:trPr>
          <w:tblHeader/>
        </w:trPr>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Пакет</w:t>
            </w:r>
          </w:p>
        </w:tc>
        <w:tc>
          <w:tcPr>
            <w:tcW w:type="dxa" w:w="17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Репозиторий</w:t>
            </w:r>
          </w:p>
        </w:tc>
        <w:tc>
          <w:tcPr>
            <w:tcW w:type="dxa" w:w="19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Ветка / PR</w:t>
            </w:r>
          </w:p>
        </w:tc>
        <w:tc>
          <w:tcPr>
            <w:tcW w:type="dxa" w:w="44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Полный SHA-256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GF16</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main (v0.3.1)</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см. репозиторий (не закреплён в манифесте v0.4.0-pre)</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MXFP4</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main (v0.3.1)</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86c99d6f72375d751df4c74897904a0a36cff52e8d60cbfef5d58b71625d4b2f</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BF16</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320c1850b484674546785791b1c22d76feb4ea748c6669ffb633e5455d822b8a</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FP8 E4M3</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fff0c30f8e6bee22b1a7d0e0e1cff65edde9d2b17ebf97dba0539973f0a5e89d</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FP8 E5M2</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66cd7be1500ec8003eb5dee7532bb4e954b7bc0084b6f22a75d02f7842f23a56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E8M0 block</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b211f1a863f71fd7c5e02e512efff0255ebcc51521311186e01cb9992e4464bd</w:t>
            </w:r>
          </w:p>
        </w:tc>
      </w:tr>
    </w:tbl>
    <w:p>
      <w:pPr>
        <w:spacing w:after="160" w:before="60"/>
        <w:jc w:val="center"/>
      </w:pPr>
      <w:r>
        <w:rPr>
          <w:rFonts w:ascii="Times New Roman" w:cs="Times New Roman" w:eastAsia="Times New Roman" w:hAnsi="Times New Roman"/>
          <w:i/>
          <w:iCs/>
          <w:sz w:val="20"/>
          <w:szCs w:val="20"/>
        </w:rPr>
        <w:t xml:space="preserve">Таблица 8. Сопоставление пакетов с происхождением (T7).</w:t>
      </w:r>
    </w:p>
    <w:p>
      <w:pPr>
        <w:pStyle w:val="Heading2"/>
        <w:spacing w:after="110" w:before="220"/>
      </w:pPr>
      <w:r>
        <w:rPr>
          <w:rFonts w:ascii="Times New Roman" w:cs="Times New Roman" w:eastAsia="Times New Roman" w:hAnsi="Times New Roman"/>
          <w:b/>
          <w:bCs/>
          <w:color w:val="000000"/>
          <w:sz w:val="26"/>
          <w:szCs w:val="26"/>
        </w:rPr>
        <w:t xml:space="preserve">8.5. Манифест</w:t>
      </w:r>
    </w:p>
    <w:p>
      <w:pPr>
        <w:spacing w:after="120" w:line="360"/>
        <w:ind w:firstLine="283"/>
        <w:jc w:val="both"/>
      </w:pPr>
      <w:r>
        <w:rPr>
          <w:rFonts w:ascii="Times New Roman" w:cs="Times New Roman" w:eastAsia="Times New Roman" w:hAnsi="Times New Roman"/>
          <w:sz w:val="22"/>
          <w:szCs w:val="22"/>
        </w:rPr>
        <w:t xml:space="preserve">Файл </w:t>
      </w:r>
      <w:r>
        <w:rPr>
          <w:rFonts w:ascii="Consolas" w:cs="Consolas" w:eastAsia="Consolas" w:hAnsi="Consolas"/>
          <w:sz w:val="22"/>
          <w:szCs w:val="22"/>
        </w:rPr>
        <w:t xml:space="preserve">MANIFEST_v0.4.0-pre.json</w:t>
      </w:r>
      <w:r>
        <w:rPr>
          <w:rFonts w:ascii="Times New Roman" w:cs="Times New Roman" w:eastAsia="Times New Roman" w:hAnsi="Times New Roman"/>
          <w:sz w:val="22"/>
          <w:szCs w:val="22"/>
        </w:rPr>
        <w:t xml:space="preserve"> в репозитории </w:t>
      </w:r>
      <w:r>
        <w:rPr>
          <w:rFonts w:ascii="Consolas" w:cs="Consolas" w:eastAsia="Consolas" w:hAnsi="Consolas"/>
          <w:sz w:val="22"/>
          <w:szCs w:val="22"/>
        </w:rPr>
        <w:t xml:space="preserve">gHashTag/t27</w:t>
      </w:r>
      <w:r>
        <w:rPr>
          <w:rFonts w:ascii="Times New Roman" w:cs="Times New Roman" w:eastAsia="Times New Roman" w:hAnsi="Times New Roman"/>
          <w:sz w:val="22"/>
          <w:szCs w:val="22"/>
        </w:rPr>
        <w:t xml:space="preserve"> фиксирует все шесть значений SHA-256 пакетов, якорь версии ml_dtypes и ссылку на согласование с P3109 в едином машиночитаемом документе. Последующие потребители могут проверить целостность пакета, заново вычислив SHA-256 канонического JSON-файла и сравнив с записью в манифесте.</w:t>
      </w:r>
    </w:p>
    <w:p>
      <w:pPr>
        <w:pStyle w:val="Heading1"/>
        <w:spacing w:after="140" w:before="280"/>
      </w:pPr>
      <w:r>
        <w:rPr>
          <w:rFonts w:ascii="Times New Roman" w:cs="Times New Roman" w:eastAsia="Times New Roman" w:hAnsi="Times New Roman"/>
          <w:b/>
          <w:bCs/>
          <w:color w:val="000000"/>
          <w:sz w:val="30"/>
          <w:szCs w:val="30"/>
        </w:rPr>
        <w:t xml:space="preserve">9. Будущая работа</w:t>
      </w:r>
    </w:p>
    <w:p>
      <w:pPr>
        <w:pStyle w:val="Heading2"/>
        <w:spacing w:after="110" w:before="220"/>
      </w:pPr>
      <w:r>
        <w:rPr>
          <w:rFonts w:ascii="Times New Roman" w:cs="Times New Roman" w:eastAsia="Times New Roman" w:hAnsi="Times New Roman"/>
          <w:b/>
          <w:bCs/>
          <w:color w:val="000000"/>
          <w:sz w:val="26"/>
          <w:szCs w:val="26"/>
        </w:rPr>
        <w:t xml:space="preserve">9.1. Трек 2: полный набор из 83 пакетов</w:t>
      </w:r>
    </w:p>
    <w:p>
      <w:pPr>
        <w:spacing w:after="120" w:line="360"/>
        <w:ind w:firstLine="283"/>
        <w:jc w:val="both"/>
      </w:pPr>
      <w:r>
        <w:rPr>
          <w:rFonts w:ascii="Times New Roman" w:cs="Times New Roman" w:eastAsia="Times New Roman" w:hAnsi="Times New Roman"/>
          <w:sz w:val="22"/>
          <w:szCs w:val="22"/>
        </w:rPr>
        <w:t xml:space="preserve">Шесть пакетов в этой статье охватывают форматы, наиболее немедленно релевантные промышленному ML-оборудованию. Трек 2 (целевой срок III кв. 2026) расширит охват на все 83 формата каталога, для которых доступны эталонные реализации, включая: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NVIDIA NVFP4 (элемент S1E2M1, 16-элементный блок, блочный масштаб FP8 E4M3) — закрывая структурный разрыв, задокументированный в разделе 7.2.</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Остальные записи MLLowPrecision (варианты FP6, FP4, NF4).</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Типы Posit/Unum III через оракул libtakum.</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Варианты GoldenFloat от GF4 до GF256.</w:t>
      </w:r>
    </w:p>
    <w:p>
      <w:pPr>
        <w:pStyle w:val="Heading2"/>
        <w:spacing w:after="110" w:before="220"/>
      </w:pPr>
      <w:r>
        <w:rPr>
          <w:rFonts w:ascii="Times New Roman" w:cs="Times New Roman" w:eastAsia="Times New Roman" w:hAnsi="Times New Roman"/>
          <w:b/>
          <w:bCs/>
          <w:color w:val="000000"/>
          <w:sz w:val="26"/>
          <w:szCs w:val="26"/>
        </w:rPr>
        <w:t xml:space="preserve">9.2. Соответствие на уровне операций</w:t>
      </w:r>
    </w:p>
    <w:p>
      <w:pPr>
        <w:spacing w:after="120" w:line="360"/>
        <w:ind w:firstLine="283"/>
        <w:jc w:val="both"/>
      </w:pPr>
      <w:r>
        <w:rPr>
          <w:rFonts w:ascii="Times New Roman" w:cs="Times New Roman" w:eastAsia="Times New Roman" w:hAnsi="Times New Roman"/>
          <w:sz w:val="22"/>
          <w:szCs w:val="22"/>
        </w:rPr>
        <w:t xml:space="preserve">Текущий набор охватывает только уровень представления. Трек 2 добавит векторы уровня операций, согласованные с подмножеством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стандарта P3109, начиная с округления NearestTiesToEven для сложения, умножения и FMA по всем шести текущим форматам. Это позволит командам компиляторов и оборудования проверять не только корректность кодирования/декодирования, но и согласие их арифметических операций со стандартом на битовом уровне.</w:t>
      </w:r>
    </w:p>
    <w:p>
      <w:pPr>
        <w:pStyle w:val="Heading2"/>
        <w:spacing w:after="110" w:before="220"/>
      </w:pPr>
      <w:r>
        <w:rPr>
          <w:rFonts w:ascii="Times New Roman" w:cs="Times New Roman" w:eastAsia="Times New Roman" w:hAnsi="Times New Roman"/>
          <w:b/>
          <w:bCs/>
          <w:color w:val="000000"/>
          <w:sz w:val="26"/>
          <w:szCs w:val="26"/>
        </w:rPr>
        <w:t xml:space="preserve">9.3. Фаззинг циклического кодирования-декодирования</w:t>
      </w:r>
    </w:p>
    <w:p>
      <w:pPr>
        <w:spacing w:after="120" w:line="360"/>
        <w:ind w:firstLine="283"/>
        <w:jc w:val="both"/>
      </w:pPr>
      <w:r>
        <w:rPr>
          <w:rFonts w:ascii="Times New Roman" w:cs="Times New Roman" w:eastAsia="Times New Roman" w:hAnsi="Times New Roman"/>
          <w:sz w:val="22"/>
          <w:szCs w:val="22"/>
        </w:rPr>
        <w:t xml:space="preserve">Фаззер на основе свойств дополнит созданные вручную граничные векторы. Фаззер будет генерировать случайные входы FP32, применять кодирование/декодирование для каждого формата и проверять свойство циклического кодирования-декодирования и согласованность abs_error. Это особенно ценно для форматов со сложным поведением насыщения.</w:t>
      </w:r>
    </w:p>
    <w:p>
      <w:pPr>
        <w:pStyle w:val="Heading2"/>
        <w:spacing w:after="110" w:before="220"/>
      </w:pPr>
      <w:r>
        <w:rPr>
          <w:rFonts w:ascii="Times New Roman" w:cs="Times New Roman" w:eastAsia="Times New Roman" w:hAnsi="Times New Roman"/>
          <w:b/>
          <w:bCs/>
          <w:color w:val="000000"/>
          <w:sz w:val="26"/>
          <w:szCs w:val="26"/>
        </w:rPr>
        <w:t xml:space="preserve">9.4. Открытые приглашения</w:t>
      </w:r>
    </w:p>
    <w:p>
      <w:pPr>
        <w:spacing w:after="120" w:line="360"/>
        <w:ind w:firstLine="283"/>
        <w:jc w:val="both"/>
      </w:pPr>
      <w:r>
        <w:rPr>
          <w:rFonts w:ascii="Times New Roman" w:cs="Times New Roman" w:eastAsia="Times New Roman" w:hAnsi="Times New Roman"/>
          <w:sz w:val="22"/>
          <w:szCs w:val="22"/>
        </w:rPr>
        <w:t xml:space="preserve">Наиболее полезный непосредственный следующий шаг — чтобы независимый сопровождающий взял любой отдельный пакет соответствия, запустил его относительно собственной реализации и сообщил о расхождениях в виде задач (issues) на GitHub в </w:t>
      </w:r>
      <w:r>
        <w:rPr>
          <w:rFonts w:ascii="Consolas" w:cs="Consolas" w:eastAsia="Consolas" w:hAnsi="Consolas"/>
          <w:sz w:val="22"/>
          <w:szCs w:val="22"/>
        </w:rPr>
        <w:t xml:space="preserve">gHashTag/t27</w:t>
      </w:r>
      <w:r>
        <w:rPr>
          <w:rFonts w:ascii="Times New Roman" w:cs="Times New Roman" w:eastAsia="Times New Roman" w:hAnsi="Times New Roman"/>
          <w:sz w:val="22"/>
          <w:szCs w:val="22"/>
        </w:rPr>
        <w:t xml:space="preserve">. В частности: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ml_dtypes: </w:t>
      </w:r>
      <w:r>
        <w:rPr>
          <w:rFonts w:ascii="Times New Roman" w:cs="Times New Roman" w:eastAsia="Times New Roman" w:hAnsi="Times New Roman"/>
          <w:sz w:val="22"/>
          <w:szCs w:val="22"/>
        </w:rPr>
        <w:t xml:space="preserve">подтвердить совпадение 21/21 по BF16 и результаты 15/16 + 17/17 по FP8 относительно последнего выпуска 0.5.x.</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Рабочая группа OCP MX: </w:t>
      </w:r>
      <w:r>
        <w:rPr>
          <w:rFonts w:ascii="Times New Roman" w:cs="Times New Roman" w:eastAsia="Times New Roman" w:hAnsi="Times New Roman"/>
          <w:sz w:val="22"/>
          <w:szCs w:val="22"/>
        </w:rPr>
        <w:t xml:space="preserve">проверить векторы элемента MXFP4 и блочного масштаба E8M0 относительно эталонной таблицы MX v1.0.</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Редакторы IEEE P3109: </w:t>
      </w:r>
      <w:r>
        <w:rPr>
          <w:rFonts w:ascii="Times New Roman" w:cs="Times New Roman" w:eastAsia="Times New Roman" w:hAnsi="Times New Roman"/>
          <w:sz w:val="22"/>
          <w:szCs w:val="22"/>
        </w:rPr>
        <w:t xml:space="preserve">перекрёстно проверить строки Binary8p3se / Binary4p1sf в таблице 6 относительно промежуточного отчёта v3.2.x.</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NVIDIA NVFP4: </w:t>
      </w:r>
      <w:r>
        <w:rPr>
          <w:rFonts w:ascii="Times New Roman" w:cs="Times New Roman" w:eastAsia="Times New Roman" w:hAnsi="Times New Roman"/>
          <w:sz w:val="22"/>
          <w:szCs w:val="22"/>
        </w:rPr>
        <w:t xml:space="preserve">подтвердить параметры 16-элементного блока / масштаба FP8 E4M3, использованные в разделе 7.2.</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Pychop, libtakum: </w:t>
      </w:r>
      <w:r>
        <w:rPr>
          <w:rFonts w:ascii="Times New Roman" w:cs="Times New Roman" w:eastAsia="Times New Roman" w:hAnsi="Times New Roman"/>
          <w:sz w:val="22"/>
          <w:szCs w:val="22"/>
        </w:rPr>
        <w:t xml:space="preserve">оракулы для уровня операций Трека 2 и подкомплекта Posit/Unum III соответственно.</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IREE, vLLM, llama.cpp, onnxruntime: </w:t>
      </w:r>
      <w:r>
        <w:rPr>
          <w:rFonts w:ascii="Times New Roman" w:cs="Times New Roman" w:eastAsia="Times New Roman" w:hAnsi="Times New Roman"/>
          <w:sz w:val="22"/>
          <w:szCs w:val="22"/>
        </w:rPr>
        <w:t xml:space="preserve">интеграторы, наиболее вероятно затрагиваемые разрывом переполнения FP8 E4M3 при межвендорных развёртываниях.</w:t>
      </w:r>
    </w:p>
    <w:p>
      <w:pPr>
        <w:spacing w:after="120" w:line="360"/>
        <w:ind w:firstLine="283"/>
        <w:jc w:val="both"/>
      </w:pPr>
      <w:r>
        <w:rPr>
          <w:rFonts w:ascii="Times New Roman" w:cs="Times New Roman" w:eastAsia="Times New Roman" w:hAnsi="Times New Roman"/>
          <w:sz w:val="22"/>
          <w:szCs w:val="22"/>
        </w:rPr>
        <w:t xml:space="preserve">Любое найденное новое расхождение — это особенность линейки, а не отказ набора тестов.</w:t>
      </w:r>
    </w:p>
    <w:p>
      <w:pPr>
        <w:spacing w:after="120" w:line="360"/>
        <w:ind w:firstLine="283"/>
        <w:jc w:val="both"/>
      </w:pPr>
      <w:r>
        <w:rPr>
          <w:rFonts w:ascii="Times New Roman" w:cs="Times New Roman" w:eastAsia="Times New Roman" w:hAnsi="Times New Roman"/>
          <w:sz w:val="22"/>
          <w:szCs w:val="22"/>
        </w:rPr>
        <w:t xml:space="preserve">Пакеты соответствия, схема каталога и шаблоны кодогенерации лицензированы открыто с намерением, чтобы они стали общим ресурсом сообщества для вендор-нейтральной работы с реестром численных форматов.</w:t>
      </w:r>
    </w:p>
    <w:p>
      <w:pPr>
        <w:pStyle w:val="Heading1"/>
        <w:spacing w:after="140" w:before="280"/>
      </w:pPr>
      <w:r>
        <w:rPr>
          <w:rFonts w:ascii="Times New Roman" w:cs="Times New Roman" w:eastAsia="Times New Roman" w:hAnsi="Times New Roman"/>
          <w:b/>
          <w:bCs/>
          <w:color w:val="000000"/>
          <w:sz w:val="30"/>
          <w:szCs w:val="30"/>
        </w:rPr>
        <w:t xml:space="preserve">10. Ограничения</w:t>
      </w:r>
    </w:p>
    <w:p>
      <w:pPr>
        <w:spacing w:after="120" w:line="360"/>
        <w:ind w:firstLine="283"/>
        <w:jc w:val="both"/>
      </w:pPr>
      <w:r>
        <w:rPr>
          <w:rFonts w:ascii="Times New Roman" w:cs="Times New Roman" w:eastAsia="Times New Roman" w:hAnsi="Times New Roman"/>
          <w:sz w:val="22"/>
          <w:szCs w:val="22"/>
        </w:rPr>
        <w:t xml:space="preserve">Настоящие каталог и набор тестов соответствия намеренно ограничены по охвату, и мы явно формулируем граничные условия, чтобы последующие пользователи могли решить, на какие утверждения полагаться.</w:t>
      </w:r>
    </w:p>
    <w:p>
      <w:pPr>
        <w:spacing w:after="120" w:line="360"/>
        <w:ind w:firstLine="283"/>
        <w:jc w:val="both"/>
      </w:pPr>
      <w:r>
        <w:rPr>
          <w:rFonts w:ascii="Times New Roman" w:cs="Times New Roman" w:eastAsia="Times New Roman" w:hAnsi="Times New Roman"/>
          <w:b/>
          <w:bCs/>
          <w:sz w:val="22"/>
          <w:szCs w:val="22"/>
        </w:rPr>
        <w:t xml:space="preserve">Уровень элемента, а не уровень операций. </w:t>
      </w:r>
      <w:r>
        <w:rPr>
          <w:rFonts w:ascii="Times New Roman" w:cs="Times New Roman" w:eastAsia="Times New Roman" w:hAnsi="Times New Roman"/>
          <w:sz w:val="22"/>
          <w:szCs w:val="22"/>
        </w:rPr>
        <w:t xml:space="preserve">Все шесть пакетов уровня Tier-1 проверяют поведение циклического кодирования-декодирования на уровне элемента: значение кодируется в битовый паттерн, декодируется обратно, и результат сравнивается с эталонным оракулом. Пакеты не проверяют семантику уровня операций — умножение, накопление, активацию или ядра слитного умножения-накопления (FMA). Соответствие уровня операций (Трек 2, раздел 9.2) признаётся естественным следующим слоем, но выходит за рамки настоящего препринта.</w:t>
      </w:r>
    </w:p>
    <w:p>
      <w:pPr>
        <w:spacing w:after="120" w:line="360"/>
        <w:ind w:firstLine="283"/>
        <w:jc w:val="both"/>
      </w:pPr>
      <w:r>
        <w:rPr>
          <w:rFonts w:ascii="Times New Roman" w:cs="Times New Roman" w:eastAsia="Times New Roman" w:hAnsi="Times New Roman"/>
          <w:b/>
          <w:bCs/>
          <w:sz w:val="22"/>
          <w:szCs w:val="22"/>
        </w:rPr>
        <w:t xml:space="preserve">Единственный эталонный оракул. </w:t>
      </w:r>
      <w:r>
        <w:rPr>
          <w:rFonts w:ascii="Times New Roman" w:cs="Times New Roman" w:eastAsia="Times New Roman" w:hAnsi="Times New Roman"/>
          <w:sz w:val="22"/>
          <w:szCs w:val="22"/>
        </w:rPr>
        <w:t xml:space="preserve">Пакеты уровня Tier-1 используют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как эталонную реализацию, с одним хорошо задокументированным расхождением по переполнению FP8 E4M3 (раздел 7.1). Независимо реализованный оракул — например, libtakum для Posit/Unum III или Pychop для уровня операций Трека 2 — пока не подключён к стенду верификации. Расхождения, прослеживаемые к смещению одного оракула, в настоящее время нельзя исключить для форматов вне подмножества BF16 / FP8 / MXFP4 / E8M0.</w:t>
      </w:r>
    </w:p>
    <w:p>
      <w:pPr>
        <w:spacing w:after="120" w:line="360"/>
        <w:ind w:firstLine="283"/>
        <w:jc w:val="both"/>
      </w:pPr>
      <w:r>
        <w:rPr>
          <w:rFonts w:ascii="Times New Roman" w:cs="Times New Roman" w:eastAsia="Times New Roman" w:hAnsi="Times New Roman"/>
          <w:b/>
          <w:bCs/>
          <w:sz w:val="22"/>
          <w:szCs w:val="22"/>
        </w:rPr>
        <w:t xml:space="preserve">Покрытие каталога асимметрично. </w:t>
      </w:r>
      <w:r>
        <w:rPr>
          <w:rFonts w:ascii="Times New Roman" w:cs="Times New Roman" w:eastAsia="Times New Roman" w:hAnsi="Times New Roman"/>
          <w:sz w:val="22"/>
          <w:szCs w:val="22"/>
        </w:rPr>
        <w:t xml:space="preserve">Каталог из 83 строк (раздел 3) охватывает 13 кластеров форматов, но глубина покрытия неравномерна. IEEE 754 binary, BF16, FP8 (E4M3/E5M2), MXFP4 и семейство GoldenFloat GFN покрыты полными схемами строк, таксономией статусов утверждений и соответствующими пакетами Tier-1, где применимо. Строки Posit/Unum III, логарифмические системы счисления (LNS), NF4, BitNet, TF32 и FP6 присутствуют, но в настоящее время лишены пакетов Tier-1; их поля статуса утверждений заполнены, но ещё не проверены сквозным образом относительно оракула. Это сделано намеренно — каталог в первую очередь реестр, а во вторую — стенд верификации — но это означает, что отсутствие пакета соответствия не следует трактовать как утверждение о качестве.</w:t>
      </w:r>
    </w:p>
    <w:p>
      <w:pPr>
        <w:spacing w:after="120" w:line="360"/>
        <w:ind w:firstLine="283"/>
        <w:jc w:val="both"/>
      </w:pPr>
      <w:r>
        <w:rPr>
          <w:rFonts w:ascii="Times New Roman" w:cs="Times New Roman" w:eastAsia="Times New Roman" w:hAnsi="Times New Roman"/>
          <w:b/>
          <w:bCs/>
          <w:sz w:val="22"/>
          <w:szCs w:val="22"/>
        </w:rPr>
        <w:t xml:space="preserve">NVFP4 задокументирован, но не упакован. </w:t>
      </w:r>
      <w:r>
        <w:rPr>
          <w:rFonts w:ascii="Times New Roman" w:cs="Times New Roman" w:eastAsia="Times New Roman" w:hAnsi="Times New Roman"/>
          <w:sz w:val="22"/>
          <w:szCs w:val="22"/>
        </w:rPr>
        <w:t xml:space="preserve">Разрыв B (раздел 7.2) задокументирован на структурном уровне таблицей параметров, но соответствующий пакет NVFP4 уровня Tier-1 пока не включён в этот препринт. Количественные межпакетные векторы расхождений на представительных границах квантования масштаба перечислены как первый результат Трека 2 (раздел 9.1).</w:t>
      </w:r>
    </w:p>
    <w:p>
      <w:pPr>
        <w:spacing w:after="120" w:line="360"/>
        <w:ind w:firstLine="283"/>
        <w:jc w:val="both"/>
      </w:pPr>
      <w:r>
        <w:rPr>
          <w:rFonts w:ascii="Times New Roman" w:cs="Times New Roman" w:eastAsia="Times New Roman" w:hAnsi="Times New Roman"/>
          <w:b/>
          <w:bCs/>
          <w:sz w:val="22"/>
          <w:szCs w:val="22"/>
        </w:rPr>
        <w:t xml:space="preserve">Никаких утверждений об оптимальности. </w:t>
      </w:r>
      <w:r>
        <w:rPr>
          <w:rFonts w:ascii="Times New Roman" w:cs="Times New Roman" w:eastAsia="Times New Roman" w:hAnsi="Times New Roman"/>
          <w:sz w:val="22"/>
          <w:szCs w:val="22"/>
        </w:rPr>
        <w:t xml:space="preserve">Каталог не утверждает, что какой-либо включённый формат является наилучшим для какой-либо последующей задачи. Сравнения касаются интерпретации в рамках спецификации, а не точности, пропускной способности, энергопотребления или качества модели. Бенчмарки, ранжирующие форматы по точности или перплексии, выходят за рамки этой работы; настоящий вклад — это вендор-нейтральный справочник, а не конкурентная оценка.</w:t>
      </w:r>
    </w:p>
    <w:p>
      <w:pPr>
        <w:spacing w:after="120" w:line="360"/>
        <w:ind w:firstLine="283"/>
        <w:jc w:val="both"/>
      </w:pPr>
      <w:r>
        <w:rPr>
          <w:rFonts w:ascii="Times New Roman" w:cs="Times New Roman" w:eastAsia="Times New Roman" w:hAnsi="Times New Roman"/>
          <w:b/>
          <w:bCs/>
          <w:sz w:val="22"/>
          <w:szCs w:val="22"/>
        </w:rPr>
        <w:t xml:space="preserve">Честная abs_error, а не нулевая abs_error. </w:t>
      </w:r>
      <w:r>
        <w:rPr>
          <w:rFonts w:ascii="Times New Roman" w:cs="Times New Roman" w:eastAsia="Times New Roman" w:hAnsi="Times New Roman"/>
          <w:sz w:val="22"/>
          <w:szCs w:val="22"/>
        </w:rPr>
        <w:t xml:space="preserve">Норма честности из раздела 7.3 требует, чтобы каждый вектор с ненулевой ошибкой декодирования сообщал фактическую величину. Это заставляет набор выглядеть хуже, чем набор, маскирующий переполнение-в-Inf или потерю-значимости-в-ноль как «совпадение». Потребители, сравнивающие настоящие результаты с наборами, подавляющими такие поля, должны нормализовать сравнение перед выводами.</w:t>
      </w:r>
    </w:p>
    <w:p>
      <w:pPr>
        <w:spacing w:after="120" w:line="360"/>
        <w:ind w:firstLine="283"/>
        <w:jc w:val="both"/>
      </w:pPr>
      <w:r>
        <w:rPr>
          <w:rFonts w:ascii="Times New Roman" w:cs="Times New Roman" w:eastAsia="Times New Roman" w:hAnsi="Times New Roman"/>
          <w:b/>
          <w:bCs/>
          <w:sz w:val="22"/>
          <w:szCs w:val="22"/>
        </w:rPr>
        <w:t xml:space="preserve">Конверт воспроизводимости. </w:t>
      </w:r>
      <w:r>
        <w:rPr>
          <w:rFonts w:ascii="Times New Roman" w:cs="Times New Roman" w:eastAsia="Times New Roman" w:hAnsi="Times New Roman"/>
          <w:sz w:val="22"/>
          <w:szCs w:val="22"/>
        </w:rPr>
        <w:t xml:space="preserve">Все якоря SHA-256, коммиты репозиториев и манифесты пакетов, приведённые в разделе 8, были проверены на момент написания. Долгосрочная воспроизводимость зависит от доступности вышестоящих источников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спецификации OCP MX и промежуточного документа IEEE P3109; если какой-либо из них станет недоступен, стенду верификации потребуется слой зеркалирования, который в настоящее время не реализован.</w:t>
      </w:r>
    </w:p>
    <w:p>
      <w:pPr>
        <w:spacing w:after="120" w:line="360"/>
        <w:ind w:firstLine="283"/>
        <w:jc w:val="both"/>
      </w:pPr>
      <w:r>
        <w:rPr>
          <w:rFonts w:ascii="Times New Roman" w:cs="Times New Roman" w:eastAsia="Times New Roman" w:hAnsi="Times New Roman"/>
          <w:b/>
          <w:bCs/>
          <w:sz w:val="22"/>
          <w:szCs w:val="22"/>
        </w:rPr>
        <w:t xml:space="preserve">Отсутствие зависимости от неопубликованных работ. </w:t>
      </w:r>
      <w:r>
        <w:rPr>
          <w:rFonts w:ascii="Times New Roman" w:cs="Times New Roman" w:eastAsia="Times New Roman" w:hAnsi="Times New Roman"/>
          <w:sz w:val="22"/>
          <w:szCs w:val="22"/>
        </w:rPr>
        <w:t xml:space="preserve">Результаты этой статьи — каталог из 83 форматов, шесть пакетов соответствия, кросс-уолк к P3109 v3.2.0 и два задокументированных интерпретационных разрыва — зависят только от артефактов, процитированных в библиографии и публично доступных (репозитории с открытой лицензией, опубликованные стандарты и препринт arXiv GoldenFloat). Ни одно утверждение, таблица или теорема в этой статье не опирается на неопубликованные или находящиеся на рецензировании рукописи. Предстоящие последующие работы по смежным темам упоминаются только как направление будущей работы в разделе 9 и явно выходят за рамки настоящего изложения.</w:t>
      </w:r>
    </w:p>
    <w:p>
      <w:pPr>
        <w:spacing w:after="120" w:line="360"/>
        <w:ind w:firstLine="283"/>
        <w:jc w:val="both"/>
      </w:pPr>
      <w:r>
        <w:rPr>
          <w:rFonts w:ascii="Times New Roman" w:cs="Times New Roman" w:eastAsia="Times New Roman" w:hAnsi="Times New Roman"/>
          <w:sz w:val="22"/>
          <w:szCs w:val="22"/>
        </w:rPr>
        <w:t xml:space="preserve">Ни одно из этих ограничений не меняет центрального утверждения статьи: каталог из 83 форматов с шестью пакетами соответствия, кросс-уолком к IEEE P3109 и двумя задокументированными интерпретационными разрывами теперь является пригодным, воспроизводимым вендор-нейтральным справочником. Они очерчивают то, чем артефакт является, в отличие от того, чем он не является.</w:t>
      </w:r>
    </w:p>
    <w:p>
      <w:pPr>
        <w:pStyle w:val="Heading1"/>
        <w:spacing w:after="140" w:before="280"/>
      </w:pPr>
      <w:r>
        <w:rPr>
          <w:rFonts w:ascii="Times New Roman" w:cs="Times New Roman" w:eastAsia="Times New Roman" w:hAnsi="Times New Roman"/>
          <w:b/>
          <w:bCs/>
          <w:color w:val="000000"/>
          <w:sz w:val="30"/>
          <w:szCs w:val="30"/>
        </w:rPr>
        <w:t xml:space="preserve">Благодарности</w:t>
      </w:r>
    </w:p>
    <w:p>
      <w:pPr>
        <w:spacing w:after="120" w:line="360"/>
        <w:ind w:firstLine="283"/>
        <w:jc w:val="both"/>
      </w:pPr>
      <w:r>
        <w:rPr>
          <w:rFonts w:ascii="Times New Roman" w:cs="Times New Roman" w:eastAsia="Times New Roman" w:hAnsi="Times New Roman"/>
          <w:sz w:val="22"/>
          <w:szCs w:val="22"/>
        </w:rPr>
        <w:t xml:space="preserve">Автор благодарит сопровождающих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(Google/JAX) за предоставление эталонной реализации, а рабочую группу OCP Microscaling — за публикацию спецификации MX v1.0 в открытом доступе. Эта работа была выполнена в Trinity S³AI автором (ORCID 0009-0008-4294-6159). Автор благодарит рецензентов Tenstorrent tt-metal </w:t>
      </w:r>
      <w:r>
        <w:rPr>
          <w:rFonts w:ascii="Consolas" w:cs="Consolas" w:eastAsia="Consolas" w:hAnsi="Consolas"/>
          <w:sz w:val="22"/>
          <w:szCs w:val="22"/>
        </w:rPr>
        <w:t xml:space="preserve">@amahmudTT</w:t>
      </w:r>
      <w:r>
        <w:rPr>
          <w:rFonts w:ascii="Times New Roman" w:cs="Times New Roman" w:eastAsia="Times New Roman" w:hAnsi="Times New Roman"/>
          <w:sz w:val="22"/>
          <w:szCs w:val="22"/>
        </w:rPr>
        <w:t xml:space="preserve"> и </w:t>
      </w:r>
      <w:r>
        <w:rPr>
          <w:rFonts w:ascii="Consolas" w:cs="Consolas" w:eastAsia="Consolas" w:hAnsi="Consolas"/>
          <w:sz w:val="22"/>
          <w:szCs w:val="22"/>
        </w:rPr>
        <w:t xml:space="preserve">@rtawfik01</w:t>
      </w:r>
      <w:r>
        <w:rPr>
          <w:rFonts w:ascii="Times New Roman" w:cs="Times New Roman" w:eastAsia="Times New Roman" w:hAnsi="Times New Roman"/>
          <w:sz w:val="22"/>
          <w:szCs w:val="22"/>
        </w:rPr>
        <w:t xml:space="preserve"> за содержательную обратную связь по смежным веткам соответствия FP8, которая повлияла на постановку раздела 7. Никакой внешней финансовой поддержки в подготовке этого препринта не использовалось.</w:t>
      </w:r>
    </w:p>
    <w:p>
      <w:pPr>
        <w:pStyle w:val="Heading1"/>
        <w:spacing w:after="140" w:before="280"/>
      </w:pPr>
      <w:r>
        <w:rPr>
          <w:rFonts w:ascii="Times New Roman" w:cs="Times New Roman" w:eastAsia="Times New Roman" w:hAnsi="Times New Roman"/>
          <w:b/>
          <w:bCs/>
          <w:color w:val="000000"/>
          <w:sz w:val="30"/>
          <w:szCs w:val="30"/>
        </w:rPr>
        <w:t xml:space="preserve">Список литературы</w:t>
      </w:r>
    </w:p>
    <w:p>
      <w:pPr>
        <w:spacing w:after="80" w:line="264"/>
        <w:ind w:left="480" w:hanging="480"/>
        <w:jc w:val="both"/>
      </w:pPr>
      <w:r>
        <w:rPr>
          <w:rFonts w:ascii="Times New Roman" w:cs="Times New Roman" w:eastAsia="Times New Roman" w:hAnsi="Times New Roman"/>
          <w:b/>
          <w:bCs/>
          <w:sz w:val="21"/>
          <w:szCs w:val="21"/>
        </w:rPr>
        <w:t xml:space="preserve">[1] </w:t>
      </w:r>
      <w:r>
        <w:rPr>
          <w:rFonts w:ascii="Times New Roman" w:cs="Times New Roman" w:eastAsia="Times New Roman" w:hAnsi="Times New Roman"/>
          <w:sz w:val="21"/>
          <w:szCs w:val="21"/>
        </w:rPr>
        <w:t xml:space="preserve">D. Vasilev, «GoldenFloat: A phi-anchored numeric format family and the identity φ² + 1/φ² = 3», arXiv:2606.05017, 2026. https://arxiv.org/abs/2606.05017</w:t>
      </w:r>
    </w:p>
    <w:p>
      <w:pPr>
        <w:spacing w:after="80" w:line="264"/>
        <w:ind w:left="480" w:hanging="480"/>
        <w:jc w:val="both"/>
      </w:pPr>
      <w:r>
        <w:rPr>
          <w:rFonts w:ascii="Times New Roman" w:cs="Times New Roman" w:eastAsia="Times New Roman" w:hAnsi="Times New Roman"/>
          <w:b/>
          <w:bCs/>
          <w:sz w:val="21"/>
          <w:szCs w:val="21"/>
        </w:rPr>
        <w:t xml:space="preserve">[2] </w:t>
      </w:r>
      <w:r>
        <w:rPr>
          <w:rFonts w:ascii="Times New Roman" w:cs="Times New Roman" w:eastAsia="Times New Roman" w:hAnsi="Times New Roman"/>
          <w:sz w:val="21"/>
          <w:szCs w:val="21"/>
        </w:rPr>
        <w:t xml:space="preserve">C. Hunhold, «Takum arithmetic: A new paradigm for low-precision numerics», arXiv:2412.20273, 2024. https://arxiv.org/abs/2412.20273</w:t>
      </w:r>
    </w:p>
    <w:p>
      <w:pPr>
        <w:spacing w:after="80" w:line="264"/>
        <w:ind w:left="480" w:hanging="480"/>
        <w:jc w:val="both"/>
      </w:pPr>
      <w:r>
        <w:rPr>
          <w:rFonts w:ascii="Times New Roman" w:cs="Times New Roman" w:eastAsia="Times New Roman" w:hAnsi="Times New Roman"/>
          <w:b/>
          <w:bCs/>
          <w:sz w:val="21"/>
          <w:szCs w:val="21"/>
        </w:rPr>
        <w:t xml:space="preserve">[3] </w:t>
      </w:r>
      <w:r>
        <w:rPr>
          <w:rFonts w:ascii="Times New Roman" w:cs="Times New Roman" w:eastAsia="Times New Roman" w:hAnsi="Times New Roman"/>
          <w:sz w:val="21"/>
          <w:szCs w:val="21"/>
        </w:rPr>
        <w:t xml:space="preserve">C. Park, J.-H. Lim, S. Nagarakatte, «ProofWright: Towards verified floating-point arithmetic», arXiv:2511.12294v2, 2025. https://arxiv.org/abs/2511.12294</w:t>
      </w:r>
    </w:p>
    <w:p>
      <w:pPr>
        <w:spacing w:after="80" w:line="264"/>
        <w:ind w:left="480" w:hanging="480"/>
        <w:jc w:val="both"/>
      </w:pPr>
      <w:r>
        <w:rPr>
          <w:rFonts w:ascii="Times New Roman" w:cs="Times New Roman" w:eastAsia="Times New Roman" w:hAnsi="Times New Roman"/>
          <w:b/>
          <w:bCs/>
          <w:sz w:val="21"/>
          <w:szCs w:val="21"/>
        </w:rPr>
        <w:t xml:space="preserve">[4] </w:t>
      </w:r>
      <w:r>
        <w:rPr>
          <w:rFonts w:ascii="Times New Roman" w:cs="Times New Roman" w:eastAsia="Times New Roman" w:hAnsi="Times New Roman"/>
          <w:sz w:val="21"/>
          <w:szCs w:val="21"/>
        </w:rPr>
        <w:t xml:space="preserve">C. Chang, C. Park, J.-H. Lim, S. Nagarakatte, «P3109 FLoPS: A Lean 4 formalization of IEEE P3109 floating-point semantics», arXiv:2602.15965, 2026. https://arxiv.org/abs/2602.15965</w:t>
      </w:r>
    </w:p>
    <w:p>
      <w:pPr>
        <w:spacing w:after="80" w:line="264"/>
        <w:ind w:left="480" w:hanging="480"/>
        <w:jc w:val="both"/>
      </w:pPr>
      <w:r>
        <w:rPr>
          <w:rFonts w:ascii="Times New Roman" w:cs="Times New Roman" w:eastAsia="Times New Roman" w:hAnsi="Times New Roman"/>
          <w:b/>
          <w:bCs/>
          <w:sz w:val="21"/>
          <w:szCs w:val="21"/>
        </w:rPr>
        <w:t xml:space="preserve">[5] </w:t>
      </w:r>
      <w:r>
        <w:rPr>
          <w:rFonts w:ascii="Times New Roman" w:cs="Times New Roman" w:eastAsia="Times New Roman" w:hAnsi="Times New Roman"/>
          <w:sz w:val="21"/>
          <w:szCs w:val="21"/>
        </w:rPr>
        <w:t xml:space="preserve">B. Rouhani et al., «Microscaling data formats for deep learning», arXiv:2310.10537, 2023. https://arxiv.org/abs/2310.10537</w:t>
      </w:r>
    </w:p>
    <w:p>
      <w:pPr>
        <w:spacing w:after="80" w:line="264"/>
        <w:ind w:left="480" w:hanging="480"/>
        <w:jc w:val="both"/>
      </w:pPr>
      <w:r>
        <w:rPr>
          <w:rFonts w:ascii="Times New Roman" w:cs="Times New Roman" w:eastAsia="Times New Roman" w:hAnsi="Times New Roman"/>
          <w:b/>
          <w:bCs/>
          <w:sz w:val="21"/>
          <w:szCs w:val="21"/>
        </w:rPr>
        <w:t xml:space="preserve">[6] </w:t>
      </w:r>
      <w:r>
        <w:rPr>
          <w:rFonts w:ascii="Times New Roman" w:cs="Times New Roman" w:eastAsia="Times New Roman" w:hAnsi="Times New Roman"/>
          <w:sz w:val="21"/>
          <w:szCs w:val="21"/>
        </w:rPr>
        <w:t xml:space="preserve">A. Ouyang et al., «KernelBench: Can LLMs write efficient GPU kernels?», arXiv:2502.10517, 2025. https://arxiv.org/abs/2502.10517</w:t>
      </w:r>
    </w:p>
    <w:p>
      <w:pPr>
        <w:spacing w:after="80" w:line="264"/>
        <w:ind w:left="480" w:hanging="480"/>
        <w:jc w:val="both"/>
      </w:pPr>
      <w:r>
        <w:rPr>
          <w:rFonts w:ascii="Times New Roman" w:cs="Times New Roman" w:eastAsia="Times New Roman" w:hAnsi="Times New Roman"/>
          <w:b/>
          <w:bCs/>
          <w:sz w:val="21"/>
          <w:szCs w:val="21"/>
        </w:rPr>
        <w:t xml:space="preserve">[7] </w:t>
      </w:r>
      <w:r>
        <w:rPr>
          <w:rFonts w:ascii="Times New Roman" w:cs="Times New Roman" w:eastAsia="Times New Roman" w:hAnsi="Times New Roman"/>
          <w:sz w:val="21"/>
          <w:szCs w:val="21"/>
        </w:rPr>
        <w:t xml:space="preserve">NVIDIA, «Introducing NVFP4 for efficient and accurate low-precision inference», NVIDIA Technical Blog, 2025. https://developer.nvidia.com/blog/introducing-nvfp4-for-efficient-and-accurate-low-precision-inference/</w:t>
      </w:r>
    </w:p>
    <w:p>
      <w:pPr>
        <w:spacing w:after="80" w:line="264"/>
        <w:ind w:left="480" w:hanging="480"/>
        <w:jc w:val="both"/>
      </w:pPr>
      <w:r>
        <w:rPr>
          <w:rFonts w:ascii="Times New Roman" w:cs="Times New Roman" w:eastAsia="Times New Roman" w:hAnsi="Times New Roman"/>
          <w:b/>
          <w:bCs/>
          <w:sz w:val="21"/>
          <w:szCs w:val="21"/>
        </w:rPr>
        <w:t xml:space="preserve">[8] </w:t>
      </w:r>
      <w:r>
        <w:rPr>
          <w:rFonts w:ascii="Times New Roman" w:cs="Times New Roman" w:eastAsia="Times New Roman" w:hAnsi="Times New Roman"/>
          <w:sz w:val="21"/>
          <w:szCs w:val="21"/>
        </w:rPr>
        <w:t xml:space="preserve">M. Wang et al., «M²XFP: A unified mixed-precision microscaling floating-point representation for next-generation AI accelerators», arXiv:2601.19213, 2026 (to appear, ASPLOS ’26). https://arxiv.org/abs/2601.19213</w:t>
      </w:r>
    </w:p>
    <w:p>
      <w:pPr>
        <w:spacing w:after="80" w:line="264"/>
        <w:ind w:left="480" w:hanging="480"/>
        <w:jc w:val="both"/>
      </w:pPr>
      <w:r>
        <w:rPr>
          <w:rFonts w:ascii="Times New Roman" w:cs="Times New Roman" w:eastAsia="Times New Roman" w:hAnsi="Times New Roman"/>
          <w:b/>
          <w:bCs/>
          <w:sz w:val="21"/>
          <w:szCs w:val="21"/>
        </w:rPr>
        <w:t xml:space="preserve">[9] </w:t>
      </w:r>
      <w:r>
        <w:rPr>
          <w:rFonts w:ascii="Times New Roman" w:cs="Times New Roman" w:eastAsia="Times New Roman" w:hAnsi="Times New Roman"/>
          <w:sz w:val="21"/>
          <w:szCs w:val="21"/>
        </w:rPr>
        <w:t xml:space="preserve">N. J. Higham, «Low-precision floating-point formats: The wild west of computer arithmetic», SIAM News, 2017. https://www.siam.org/publications/siam-news/</w:t>
      </w:r>
    </w:p>
    <w:p>
      <w:pPr>
        <w:spacing w:after="80" w:line="264"/>
        <w:ind w:left="480" w:hanging="480"/>
        <w:jc w:val="both"/>
      </w:pPr>
      <w:r>
        <w:rPr>
          <w:rFonts w:ascii="Times New Roman" w:cs="Times New Roman" w:eastAsia="Times New Roman" w:hAnsi="Times New Roman"/>
          <w:b/>
          <w:bCs/>
          <w:sz w:val="21"/>
          <w:szCs w:val="21"/>
        </w:rPr>
        <w:t xml:space="preserve">[10] </w:t>
      </w:r>
      <w:r>
        <w:rPr>
          <w:rFonts w:ascii="Times New Roman" w:cs="Times New Roman" w:eastAsia="Times New Roman" w:hAnsi="Times New Roman"/>
          <w:sz w:val="21"/>
          <w:szCs w:val="21"/>
        </w:rPr>
        <w:t xml:space="preserve">E. Carson, X. Chen, «Pychop: Emulating low-precision arithmetic in Python for ML and scientific computing», arXiv:2504.07835, 2025. https://arxiv.org/abs/2504.07835</w:t>
      </w:r>
    </w:p>
    <w:p>
      <w:pPr>
        <w:spacing w:after="80" w:line="264"/>
        <w:ind w:left="480" w:hanging="480"/>
        <w:jc w:val="both"/>
      </w:pPr>
      <w:r>
        <w:rPr>
          <w:rFonts w:ascii="Times New Roman" w:cs="Times New Roman" w:eastAsia="Times New Roman" w:hAnsi="Times New Roman"/>
          <w:b/>
          <w:bCs/>
          <w:sz w:val="21"/>
          <w:szCs w:val="21"/>
        </w:rPr>
        <w:t xml:space="preserve">[11] </w:t>
      </w:r>
      <w:r>
        <w:rPr>
          <w:rFonts w:ascii="Times New Roman" w:cs="Times New Roman" w:eastAsia="Times New Roman" w:hAnsi="Times New Roman"/>
          <w:sz w:val="21"/>
          <w:szCs w:val="21"/>
        </w:rPr>
        <w:t xml:space="preserve">C. M. Wintersteiger, «Floating-point conformance testing in industrial practice», Proc. IEEE ARITH 2025. https://arith2025.org/proceedings/215900a157.pdf</w:t>
      </w:r>
    </w:p>
    <w:p>
      <w:pPr>
        <w:spacing w:after="80" w:line="264"/>
        <w:ind w:left="480" w:hanging="480"/>
        <w:jc w:val="both"/>
      </w:pPr>
      <w:r>
        <w:rPr>
          <w:rFonts w:ascii="Times New Roman" w:cs="Times New Roman" w:eastAsia="Times New Roman" w:hAnsi="Times New Roman"/>
          <w:b/>
          <w:bCs/>
          <w:sz w:val="21"/>
          <w:szCs w:val="21"/>
        </w:rPr>
        <w:t xml:space="preserve">[12] </w:t>
      </w:r>
      <w:r>
        <w:rPr>
          <w:rFonts w:ascii="Times New Roman" w:cs="Times New Roman" w:eastAsia="Times New Roman" w:hAnsi="Times New Roman"/>
          <w:sz w:val="21"/>
          <w:szCs w:val="21"/>
        </w:rPr>
        <w:t xml:space="preserve">C. Hunhold, «libtakum: A reference C library for takum arithmetic», GitHub, 2024–2025. https://github.com/takum-arithmetic/libtakum</w:t>
      </w:r>
    </w:p>
    <w:p>
      <w:pPr>
        <w:spacing w:after="80" w:line="264"/>
        <w:ind w:left="480" w:hanging="480"/>
        <w:jc w:val="both"/>
      </w:pPr>
      <w:r>
        <w:rPr>
          <w:rFonts w:ascii="Times New Roman" w:cs="Times New Roman" w:eastAsia="Times New Roman" w:hAnsi="Times New Roman"/>
          <w:b/>
          <w:bCs/>
          <w:sz w:val="21"/>
          <w:szCs w:val="21"/>
        </w:rPr>
        <w:t xml:space="preserve">[13] </w:t>
      </w:r>
      <w:r>
        <w:rPr>
          <w:rFonts w:ascii="Times New Roman" w:cs="Times New Roman" w:eastAsia="Times New Roman" w:hAnsi="Times New Roman"/>
          <w:sz w:val="21"/>
          <w:szCs w:val="21"/>
        </w:rPr>
        <w:t xml:space="preserve">C. Hunhold, T. Quinlan, «Takum arithmetic in sparse iterative solvers: A precision-vs-storage study», arXiv:2412.20268, 2024. https://arxiv.org/abs/2412.20268</w:t>
      </w:r>
    </w:p>
    <w:p>
      <w:pPr>
        <w:spacing w:after="80" w:line="264"/>
        <w:ind w:left="480" w:hanging="480"/>
        <w:jc w:val="both"/>
      </w:pPr>
      <w:r>
        <w:rPr>
          <w:rFonts w:ascii="Times New Roman" w:cs="Times New Roman" w:eastAsia="Times New Roman" w:hAnsi="Times New Roman"/>
          <w:b/>
          <w:bCs/>
          <w:sz w:val="21"/>
          <w:szCs w:val="21"/>
        </w:rPr>
        <w:t xml:space="preserve">[14] </w:t>
      </w:r>
      <w:r>
        <w:rPr>
          <w:rFonts w:ascii="Times New Roman" w:cs="Times New Roman" w:eastAsia="Times New Roman" w:hAnsi="Times New Roman"/>
          <w:sz w:val="21"/>
          <w:szCs w:val="21"/>
        </w:rPr>
        <w:t xml:space="preserve">B. Noune et al., «8-bit numerical formats for deep neural networks», arXiv:2206.02915, 2022. https://arxiv.org/abs/2206.02915</w:t>
      </w:r>
    </w:p>
    <w:p>
      <w:pPr>
        <w:spacing w:after="80" w:line="264"/>
        <w:ind w:left="480" w:hanging="480"/>
        <w:jc w:val="both"/>
      </w:pPr>
      <w:r>
        <w:rPr>
          <w:rFonts w:ascii="Times New Roman" w:cs="Times New Roman" w:eastAsia="Times New Roman" w:hAnsi="Times New Roman"/>
          <w:b/>
          <w:bCs/>
          <w:sz w:val="21"/>
          <w:szCs w:val="21"/>
        </w:rPr>
        <w:t xml:space="preserve">[15] </w:t>
      </w:r>
      <w:r>
        <w:rPr>
          <w:rFonts w:ascii="Times New Roman" w:cs="Times New Roman" w:eastAsia="Times New Roman" w:hAnsi="Times New Roman"/>
          <w:sz w:val="21"/>
          <w:szCs w:val="21"/>
        </w:rPr>
        <w:t xml:space="preserve">IEEE Std 754-2019, IEEE Standard for Floating-Point Arithmetic, IEEE, New York, NY, 2019. https://standards.ieee.org/ieee/754/6210/</w:t>
      </w:r>
    </w:p>
    <w:p>
      <w:pPr>
        <w:spacing w:after="80" w:line="264"/>
        <w:ind w:left="480" w:hanging="480"/>
        <w:jc w:val="both"/>
      </w:pPr>
      <w:r>
        <w:rPr>
          <w:rFonts w:ascii="Times New Roman" w:cs="Times New Roman" w:eastAsia="Times New Roman" w:hAnsi="Times New Roman"/>
          <w:b/>
          <w:bCs/>
          <w:sz w:val="21"/>
          <w:szCs w:val="21"/>
        </w:rPr>
        <w:t xml:space="preserve">[16] </w:t>
      </w:r>
      <w:r>
        <w:rPr>
          <w:rFonts w:ascii="Times New Roman" w:cs="Times New Roman" w:eastAsia="Times New Roman" w:hAnsi="Times New Roman"/>
          <w:sz w:val="21"/>
          <w:szCs w:val="21"/>
        </w:rPr>
        <w:t xml:space="preserve">Open Compute Project, OCP Microscaling Formats (MX) Specification v1.0, OCP Foundation, 2023. https://www.opencompute.org/documents/ocp-microscaling-formats-mx-v1-0-spec-final-pdf</w:t>
      </w:r>
    </w:p>
    <w:p>
      <w:pPr>
        <w:spacing w:after="80" w:line="264"/>
        <w:ind w:left="480" w:hanging="480"/>
        <w:jc w:val="both"/>
      </w:pPr>
      <w:r>
        <w:rPr>
          <w:rFonts w:ascii="Times New Roman" w:cs="Times New Roman" w:eastAsia="Times New Roman" w:hAnsi="Times New Roman"/>
          <w:b/>
          <w:bCs/>
          <w:sz w:val="21"/>
          <w:szCs w:val="21"/>
        </w:rPr>
        <w:t xml:space="preserve">[17] </w:t>
      </w:r>
      <w:r>
        <w:rPr>
          <w:rFonts w:ascii="Times New Roman" w:cs="Times New Roman" w:eastAsia="Times New Roman" w:hAnsi="Times New Roman"/>
          <w:sz w:val="21"/>
          <w:szCs w:val="21"/>
        </w:rPr>
        <w:t xml:space="preserve">Google/JAX, ml_dtypes version 0.5.4: Low-precision float types for NumPy and JAX, 2024. https://github.com/jax-ml/ml_dtypes</w:t>
      </w:r>
    </w:p>
    <w:p>
      <w:pPr>
        <w:spacing w:after="80" w:line="264"/>
        <w:ind w:left="480" w:hanging="480"/>
        <w:jc w:val="both"/>
      </w:pPr>
      <w:r>
        <w:rPr>
          <w:rFonts w:ascii="Times New Roman" w:cs="Times New Roman" w:eastAsia="Times New Roman" w:hAnsi="Times New Roman"/>
          <w:b/>
          <w:bCs/>
          <w:sz w:val="21"/>
          <w:szCs w:val="21"/>
        </w:rPr>
        <w:t xml:space="preserve">[18] </w:t>
      </w:r>
      <w:r>
        <w:rPr>
          <w:rFonts w:ascii="Times New Roman" w:cs="Times New Roman" w:eastAsia="Times New Roman" w:hAnsi="Times New Roman"/>
          <w:sz w:val="21"/>
          <w:szCs w:val="21"/>
        </w:rPr>
        <w:t xml:space="preserve">IEEE P3109 Working Group, IEEE SA P3109 Interim Report v3.2.0: Standard for Floating-Point Arithmetic for AI, IEEE Standards Association, 2026. https://github.com/P3109/Public</w:t>
      </w:r>
    </w:p>
    <w:p>
      <w:pPr>
        <w:spacing w:after="120" w:line="360"/>
        <w:jc w:val="both"/>
      </w:pPr>
      <w:r>
        <w:rPr>
          <w:rFonts w:ascii="Times New Roman" w:cs="Times New Roman" w:eastAsia="Times New Roman" w:hAnsi="Times New Roman"/>
          <w:i/>
          <w:iCs/>
          <w:sz w:val="22"/>
          <w:szCs w:val="22"/>
        </w:rPr>
        <w:t xml:space="preserve">References (English transliteration) is produced by the editorial office from the entries above; all sources are cited in Latin script.</w:t>
      </w:r>
    </w:p>
    <w:p>
      <w:pPr>
        <w:pStyle w:val="Heading1"/>
        <w:spacing w:after="140" w:before="280"/>
      </w:pPr>
      <w:r>
        <w:rPr>
          <w:rFonts w:ascii="Times New Roman" w:cs="Times New Roman" w:eastAsia="Times New Roman" w:hAnsi="Times New Roman"/>
          <w:b/>
          <w:bCs/>
          <w:color w:val="000000"/>
          <w:sz w:val="30"/>
          <w:szCs w:val="30"/>
        </w:rPr>
        <w:t xml:space="preserve">Об авторе</w:t>
      </w:r>
    </w:p>
    <w:p>
      <w:pPr>
        <w:spacing w:after="120" w:line="360"/>
        <w:jc w:val="both"/>
      </w:pPr>
      <w:r>
        <w:rPr>
          <w:rFonts w:ascii="Times New Roman" w:cs="Times New Roman" w:eastAsia="Times New Roman" w:hAnsi="Times New Roman"/>
          <w:b/>
          <w:bCs/>
          <w:sz w:val="22"/>
          <w:szCs w:val="22"/>
        </w:rPr>
        <w:t xml:space="preserve">Васильев Дмитрий Владимирович </w:t>
      </w:r>
      <w:r>
        <w:rPr>
          <w:rFonts w:ascii="Times New Roman" w:cs="Times New Roman" w:eastAsia="Times New Roman" w:hAnsi="Times New Roman"/>
          <w:sz w:val="22"/>
          <w:szCs w:val="22"/>
        </w:rPr>
        <w:t xml:space="preserve">— независимый исследователь (Trinity S³AI), г. Ко Самуи, Королевство Таиланд. Область научных интересов: численные форматы, арифметика пониженной точности, нейросимвольный ИИ, верифицируемые вычисления. ORCID: 0009-0008-4294-6159. Эл. почта: admin@t27.ai.</w:t>
      </w:r>
    </w:p>
    <w:p>
      <w:pPr>
        <w:spacing w:after="120" w:line="360"/>
        <w:jc w:val="both"/>
      </w:pPr>
      <w:r>
        <w:rPr>
          <w:rFonts w:ascii="Times New Roman" w:cs="Times New Roman" w:eastAsia="Times New Roman" w:hAnsi="Times New Roman"/>
          <w:b/>
          <w:bCs/>
          <w:sz w:val="22"/>
          <w:szCs w:val="22"/>
        </w:rPr>
        <w:t xml:space="preserve">Vasilev Dmitrii Vladimirovich </w:t>
      </w:r>
      <w:r>
        <w:rPr>
          <w:rFonts w:ascii="Times New Roman" w:cs="Times New Roman" w:eastAsia="Times New Roman" w:hAnsi="Times New Roman"/>
          <w:sz w:val="22"/>
          <w:szCs w:val="22"/>
        </w:rPr>
        <w:t xml:space="preserve">— independent researcher (Trinity S³AI), Ko Samui, Kingdom of Thailand. Research interests: numeric formats, low-precision arithmetic, neurosymbolic AI, verifiable computing. ORCID: 0009-0008-4294-6159. E-mail: admin@t27.ai.</w:t>
      </w:r>
    </w:p>
    <w:sectPr>
      <w:headerReference w:type="default" r:id="rId7"/>
      <w:footerReference w:type="default" r:id="rId8"/>
      <w:pgSz w:w="11906" w:h="16838" w:orient="portrait"/>
      <w:pgMar w:top="1985" w:right="1417" w:bottom="1985"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Стр.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из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6"/>
        <w:szCs w:val="16"/>
      </w:rPr>
      <w:t xml:space="preserve">Искусственный интеллект и принятие решений</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keepNext/>
      <w:spacing w:after="110" w:before="220"/>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hgatktl6tapourjrac6t" Type="http://schemas.openxmlformats.org/officeDocument/2006/relationships/hyperlink" Target="https://orcid.org/0009-0008-4294-6159"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Каталог из 83 численных форматов с битоточными векторами соответствия</dc:title>
  <dc:creator>Dmitrii Vasilev</dc:creator>
  <cp:lastModifiedBy>Un-named</cp:lastModifiedBy>
  <cp:revision>1</cp:revision>
  <dcterms:created xsi:type="dcterms:W3CDTF">2026-06-14T10:26:06.157Z</dcterms:created>
  <dcterms:modified xsi:type="dcterms:W3CDTF">2026-06-14T10:26:06.157Z</dcterms:modified>
</cp:coreProperties>
</file>

<file path=docProps/custom.xml><?xml version="1.0" encoding="utf-8"?>
<Properties xmlns="http://schemas.openxmlformats.org/officeDocument/2006/custom-properties" xmlns:vt="http://schemas.openxmlformats.org/officeDocument/2006/docPropsVTypes"/>
</file>