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tqwult95kkcnzfnaowwpw">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набор из шести битоточных пакетов соответствия (conformance packs) для GF16, элемента MXFP4, BF16, FP8 E4M3, FP8 E5M2 и блочного масштаба E8M0; а также кросс-уолк к IEEE P3109 v3.2.0, сопоставляющий каждый пакет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bit-exact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set of six bit-exact conformance packs for GF16, the MXFP4 element, BF16, FP8 E4M3, FP8 E5M2 and the E8M0 block scale; and a crosswalk to IEEE P3109 v3.2.0 mapping each pack to its configurable form of the standard. Every pack is a self-contained JSON document with a SHA-256 fingerprint, a shared row schema and an anchor vector encoding the value 3.0 — the identity phi^2 + 1/phi^2 = 3 — as a cross-pack correctness check.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шесть битоточных пакетов соответствия. </w:t>
      </w:r>
      <w:r>
        <w:rPr>
          <w:rFonts w:ascii="Times New Roman" w:cs="Times New Roman" w:eastAsia="Times New Roman" w:hAnsi="Times New Roman"/>
          <w:sz w:val="22"/>
          <w:szCs w:val="22"/>
        </w:rPr>
        <w:t xml:space="preserve">Пакеты (раздел 5) охватывают шесть форматов, наиболее часто встречающихся в современном промышленном аппаратном обеспечении и исследовательских конвейерах: GoldenFloat 16 (GF16), элемент MXFP4, BF16, FP8 E4M3, FP8 E5M2 и блочный масштаб E8M0. Два пакета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представлены в текущем предварительном выпуске, доступном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Раздел 5 поочерёдно представляет каждый из шести пакетов.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соответствия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для шести наиболее немедленно развёртываемых пакетов уровня представления; NVFP4 обсуждается как ближайший кандидат «Трека 2»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пакетов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5. Шесть пакетов соответствия</w:t>
      </w:r>
    </w:p>
    <w:p>
      <w:pPr>
        <w:spacing w:after="120" w:line="360"/>
        <w:ind w:firstLine="283"/>
        <w:jc w:val="both"/>
      </w:pPr>
      <w:r>
        <w:rPr>
          <w:rFonts w:ascii="Times New Roman" w:cs="Times New Roman" w:eastAsia="Times New Roman" w:hAnsi="Times New Roman"/>
          <w:sz w:val="22"/>
          <w:szCs w:val="22"/>
        </w:rPr>
        <w:t xml:space="preserve">Таблица 4 даёт сводку по всем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15 представимых конечных значений плюс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пакетов соответствия уровня Tier-1. Здесь располагаются все JSON-файлы каталога, файлы пакетов,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все шесть значений SHA-256 пакетов, якорь версии ml_dtypes и ссылку на согласование с P3109 в едином машиночитаемом документе. Последующие потребители могут проверить целостность пакета, заново вычислив SHA-256 канонического JSON-файла и сравнив с записью в манифесте.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полный набор из 83 пакетов</w:t>
      </w:r>
    </w:p>
    <w:p>
      <w:pPr>
        <w:spacing w:after="120" w:line="360"/>
        <w:ind w:firstLine="283"/>
        <w:jc w:val="both"/>
      </w:pPr>
      <w:r>
        <w:rPr>
          <w:rFonts w:ascii="Times New Roman" w:cs="Times New Roman" w:eastAsia="Times New Roman" w:hAnsi="Times New Roman"/>
          <w:sz w:val="22"/>
          <w:szCs w:val="22"/>
        </w:rPr>
        <w:t xml:space="preserve">Шесть пакетов в этой статье охватывают форматы, наиболее немедленно релевантные промышленному ML-оборудованию. Трек 2 (целевой срок III кв. 2026) расширит охват на все 83 формата каталога, для которых доступны эталонные реализации,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закрывая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Остальные записи MLLowPrecision (варианты FP6, FP4,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Типы Posit/Unum III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Варианты GoldenFloat от GF4 до GF256.</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всем шести текущим форматам.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шесть пакетов соответствия,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шестью пакетами соответствия,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qwult95kkcnzfnaowwpw"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2026-06-14T10:11:24.048Z</dcterms:created>
  <dcterms:modified xsi:type="dcterms:W3CDTF">2026-06-14T10:11:24.049Z</dcterms:modified>
</cp:coreProperties>
</file>

<file path=docProps/custom.xml><?xml version="1.0" encoding="utf-8"?>
<Properties xmlns="http://schemas.openxmlformats.org/officeDocument/2006/custom-properties" xmlns:vt="http://schemas.openxmlformats.org/officeDocument/2006/docPropsVTypes"/>
</file>