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В редакцию журнала «Искусственный интеллект и принятие решений»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ФИЦ «Информатика и управление» РАН · научная специальность 1.2.1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УДК 004.222</w:t>
      </w:r>
    </w:p>
    <w:p>
      <w:pPr>
        <w:pBdr>
          <w:bottom w:val="single" w:color="000000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Каталог из 83 численных форматов с битоточными векторами соответствия:</w:t>
      </w:r>
    </w:p>
    <w:p>
      <w:pPr>
        <w:spacing w:after="16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вендор-нейтральный справочник для FP8, BF16, MXFP4 и микромасштабируемых форматов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© 2026 г.   Д. В. Васильев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Независимый исследователь (Trinity S³AI), Ко Самуи, Королевство Таиланд</w:t>
      </w:r>
    </w:p>
    <w:p>
      <w:pPr>
        <w:spacing w:after="160" w:line="3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e-mail: admin@t27.ai   |   ORCID: 0009-0008-4294-6159</w:t>
      </w:r>
    </w:p>
    <w:p>
      <w:pPr>
        <w:spacing w:after="120" w:line="360"/>
        <w:ind w:firstLine="283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Аннотация.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В статье описаны: каталог из 83 численных форматов, охватывающий 13 семейств; набор из шести битоточных пакетов соответствия (conformance packs) для GF16, элемента MXFP4, BF16, FP8 E4M3, FP8 E5M2 и блочного масштаба E8M0; а также кросс-уолк к IEEE P3109 v3.2.0. Каждый пакет — самодостаточный документ JSON с отпечатком SHA-256, общей схемой строк и якорным вектором, кодирующим тождество φ² + 1/φ² = 3 как межпакетную проверку корректности. Пакеты перекрёстно проверены относительно эталонной реализации ml_dtypes 0.5.4 (Google/JAX); каждое расхождение документировано явно и интерпретируется как разрешённый спецификацией интерпретационный разрыв. Работа позиционируется как заполнение реестра: она не предлагает новых форматов, не делает утверждений о точности моделей и не заявляет о превосходстве над вендорскими реализациями. Все артефакты публично доступны (github.com/gHashTag/t27) под открытой лицензией.</w:t>
      </w:r>
    </w:p>
    <w:p>
      <w:pPr>
        <w:spacing w:after="120" w:line="360"/>
        <w:ind w:firstLine="283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Ключевые слова: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численные форматы, форматы с плавающей точкой, conformance, IEEE P3109, золотое сечение, машинное обучение, битоточные векторы, микромасштабирование, FP8, BF16, MXFP4.</w:t>
      </w:r>
    </w:p>
    <w:p>
      <w:pPr>
        <w:pBdr>
          <w:bottom w:val="single" w:color="000000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An 83-format numeric catalog with bit-exact conformance vectors:</w:t>
      </w:r>
    </w:p>
    <w:p>
      <w:pPr>
        <w:spacing w:after="16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 vendor-neutral reference for FP8, BF16, MXFP4 and microscaling formats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© 2026   D. V. Vasilev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Independent researcher (Trinity S³AI), Ko Samui, Kingdom of Thailand</w:t>
      </w:r>
    </w:p>
    <w:p>
      <w:pPr>
        <w:spacing w:after="160" w:line="3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e-mail: admin@t27.ai   |   ORCID: 0009-0008-4294-6159</w:t>
      </w:r>
    </w:p>
    <w:p>
      <w:pPr>
        <w:spacing w:after="120" w:line="360"/>
        <w:ind w:firstLine="283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This paper presents: a catalog of 83 numeric formats spanning 13 families; a set of six bit-exact conformance packs for GF16, the MXFP4 element, BF16, FP8 E4M3, FP8 E5M2 and the E8M0 block scale; and a crosswalk to IEEE P3109 v3.2.0 mapping each pack to its configurable form of the standard. Every pack is a self-contained JSON document with a SHA-256 fingerprint, a shared row schema and an anchor vector encoding the value 3.0 — the identity phi^2 + 1/phi^2 = 3 — as a cross-pack correctness check. Packs are cross-checked against ml_dtypes 0.5.4 (Google/JAX); any discrepancy is documented explicitly and interpreted as a specification-permitted interpretive gap. The work is positioned as registry-filling: it proposes no new formats, makes no model-accuracy claim and asserts no superiority over any vendor implementation. All artefacts are publicly available at github.com/gHashTag/t27 under an open license.</w:t>
      </w:r>
    </w:p>
    <w:p>
      <w:pPr>
        <w:spacing w:after="120" w:line="360"/>
        <w:ind w:firstLine="283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Keywords: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numeric formats, floating point, conformance, IEEE P3109, golden ratio, machine learning, bit-exact vectors, microscaling, FP8, BF16, MXFP4.</w:t>
      </w:r>
    </w:p>
    <w:p>
      <w:pPr>
        <w:pBdr>
          <w:bottom w:val="single" w:color="000000" w:sz="6" w:space="1"/>
        </w:pBdr>
        <w:spacing w:after="120" w:before="120"/>
      </w:pPr>
      <w:r>
        <w:rPr>
          <w:sz w:val="2"/>
          <w:szCs w:val="2"/>
        </w:rPr>
        <w:t xml:space="preserve"/>
      </w:r>
    </w:p>
    <w:p>
      <w:pPr>
        <w:spacing w:after="120" w:line="360"/>
        <w:ind w:firstLine="283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Сведения для редакции.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Статья оригинальна, ранее не публиковалась и не подавалась в другие издания. Конфликт интересов отсутствует, внешнее финансирование не привлекалось. Рукопись оформлена единым файлом MS Word (.docx) и содержит русско- и англоязычные версии названия, сведений об авторе, аннотации и ключевых слов; текст чёрно-белый, формат А4. По требованию редакции автор готов предоставить лицензионный договор (скан) и экспертное заключение о возможности открытого опубликования (с открытой печатью). Тема письма при подаче: «ИИПР Васильев».</w:t>
      </w:r>
    </w:p>
    <w:sectPr>
      <w:pgSz w:w="11906" w:h="16838" w:orient="portrait"/>
      <w:pgMar w:top="1985" w:right="1417" w:bottom="1985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Титульный лист — Каталог 83 форматов</dc:title>
  <dc:creator>Dmitrii Vasilev</dc:creator>
  <cp:lastModifiedBy>Un-named</cp:lastModifiedBy>
  <cp:revision>1</cp:revision>
  <dcterms:created xsi:type="dcterms:W3CDTF">2026-06-14T10:14:23.195Z</dcterms:created>
  <dcterms:modified xsi:type="dcterms:W3CDTF">2026-06-14T10:14:23.196Z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