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60" w:before="200"/>
        <w:jc w:val="center"/>
      </w:pPr>
      <w:r>
        <w:rPr>
          <w:rFonts w:ascii="Times New Roman" w:cs="Times New Roman" w:eastAsia="Times New Roman" w:hAnsi="Times New Roman"/>
          <w:b/>
          <w:bCs/>
          <w:sz w:val="34"/>
          <w:szCs w:val="34"/>
        </w:rPr>
        <w:t xml:space="preserve">Trinity Golden Vectors (TGV) / Золотые векторы Trinity:</w:t>
      </w:r>
    </w:p>
    <w:p>
      <w:pPr>
        <w:spacing w:after="60"/>
        <w:jc w:val="center"/>
      </w:pPr>
      <w:r>
        <w:rPr>
          <w:rFonts w:ascii="Times New Roman" w:cs="Times New Roman" w:eastAsia="Times New Roman" w:hAnsi="Times New Roman"/>
          <w:b/>
          <w:bCs/>
          <w:sz w:val="28"/>
          <w:szCs w:val="28"/>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24"/>
          <w:szCs w:val="24"/>
        </w:rPr>
        <w:t xml:space="preserve">вендор-нейтральный аудируемый кандидат-справочник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tznzc0otgmvwtzubyqsqr">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v5 · 6 июля 2026 г.</w:t>
      </w:r>
    </w:p>
    <w:p>
      <w:pPr>
        <w:spacing w:after="200"/>
        <w:jc w:val="center"/>
      </w:pPr>
      <w:r>
        <w:rPr>
          <w:rFonts w:ascii="Times New Roman" w:cs="Times New Roman" w:eastAsia="Times New Roman" w:hAnsi="Times New Roman"/>
          <w:i/>
          <w:iCs/>
          <w:sz w:val="18"/>
          <w:szCs w:val="18"/>
        </w:rPr>
        <w:t xml:space="preserve">Эволюция покрытия v4→v5: в v4 (8 июня 2026 г.) набор пакетов делился как 49 битоточных / 34 структурных. К v5 покрытие пересчитано по живому SSOT-индексу INDEX_all_formats.json: шесть широких GF-форматов (GF48, GF96, GF128, GF256, GF512, GF1024), ранее самосогласованных, подняты до строгой битоточности независимым вторым декодером (dyadic-exact, abs_error=0), а прочие переклассифицированы; текущее деление — 75 битоточных / 0 самосогласованных / 8 структурных (всего 83).</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полный набор пакетов соответствия (conformance packs), покрывающий все 83 формата каталога (75 битоточных пакетов с круговой проверкой кодирования-декодирования, 0 самосогласованных пакетов (единый закон декодирования без независимого второго witness) и 8 структурных пакетов для форматов без фиксированной раскладки S:E:M по основанию 2); углублённое референсное подмножество из шести пакетов уровня Tier-1 для GF16, элемента MXFP4, BF16, FP8 E4M3, FP8 E5M2 и блочного масштаба E8M0, перекрёстно проверенных относительно внешнего оракула; а также кросс-уолк к IEEE P3109 v3.2.0, сопоставляющий каждый пакет Tier-1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подмножества Tier-1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60" w:before="200"/>
        <w:jc w:val="center"/>
      </w:pPr>
      <w:r>
        <w:rPr>
          <w:rFonts w:ascii="Times New Roman" w:cs="Times New Roman" w:eastAsia="Times New Roman" w:hAnsi="Times New Roman"/>
          <w:b/>
          <w:bCs/>
          <w:sz w:val="30"/>
          <w:szCs w:val="30"/>
        </w:rPr>
        <w:t xml:space="preserve">Trinity Golden Vectors (TGV):</w:t>
      </w:r>
    </w:p>
    <w:p>
      <w:pPr>
        <w:spacing w:after="60"/>
        <w:jc w:val="center"/>
      </w:pPr>
      <w:r>
        <w:rPr>
          <w:rFonts w:ascii="Times New Roman" w:cs="Times New Roman" w:eastAsia="Times New Roman" w:hAnsi="Times New Roman"/>
          <w:b/>
          <w:bCs/>
          <w:sz w:val="24"/>
          <w:szCs w:val="24"/>
        </w:rPr>
        <w:t xml:space="preserve">an 83-format numeric catalog with catalog-wide conformance vectors</w:t>
      </w:r>
    </w:p>
    <w:p>
      <w:pPr>
        <w:spacing w:after="160"/>
        <w:jc w:val="center"/>
      </w:pPr>
      <w:r>
        <w:rPr>
          <w:rFonts w:ascii="Times New Roman" w:cs="Times New Roman" w:eastAsia="Times New Roman" w:hAnsi="Times New Roman"/>
          <w:b/>
          <w:bCs/>
          <w:sz w:val="22"/>
          <w:szCs w:val="22"/>
        </w:rPr>
        <w:t xml:space="preserve">a vendor-neutral, auditable candidate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complete conformance-pack set covering all 83 catalog formats (75 bit-exact packs with encode-decode round-trip checking, 0 self-consistent packs (single decode law without an independent second witness), and 8 structural packs for formats that have no fixed radix-2 S:E:M layout); a deeply validated Tier-1 reference subset of six packs for GF16, the MXFP4 element, BF16, FP8 E4M3, FP8 E5M2 and the E8M0 block scale, cross-checked against an external oracle; and a crosswalk to IEEE P3109 v3.2.0 mapping each Tier-1 pack to its configurable form of the standard. Every pack is a self-contained JSON document with a SHA-256 fingerprint, a shared row schema and an anchor vector encoding the value 3.0 — the identity phi^2 + 1/phi^2 = 3 — as a cross-pack correctness check. The Tier-1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полный набор пакетов соответствия на весь каталог. </w:t>
      </w:r>
      <w:r>
        <w:rPr>
          <w:rFonts w:ascii="Times New Roman" w:cs="Times New Roman" w:eastAsia="Times New Roman" w:hAnsi="Times New Roman"/>
          <w:sz w:val="22"/>
          <w:szCs w:val="22"/>
        </w:rPr>
        <w:t xml:space="preserve">Набор пакетов (раздел 5) покрывает все 83 формата каталога — по одному пакету на формат, без пропусков. Из них 75 пакетов битоточны (нативные биты декодируются в f64 точно, с проверкой кругового кодирования-декодирования); в их число входят шесть широких GF-форматов (GF48, GF96, GF128, GF256, GF512, GF1024), ранее классифицированных как самосогласованные, а теперь поднятых до строгой битоточности независимым вторым декодером (dyadic-exact, abs_error=0). Самосогласованных пакетов не осталось (0). Оставшиеся 8 — структурны (форматы без единой фиксированной раскладки S:E:M по основанию 2 — параметрические, табличные, по основанию 16, тейперированно-логарифмические, расширенной точности или с открытыми ИОКР-параметрами), помеченные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несущие явное поле обоснования. Внутри этого набора выделено референсное подмножество из шести пакетов уровня Tier-1, наиболее часто встречающихся в современном промышленном оборудовании и дополнительно перекрёстно проверенных относительно внешнего оракула: GoldenFloat 16 (GF16), элемент MXFP4, BF16, FP8 E4M3, FP8 E5M2 и блочный масштаб E8M0 (раздел 5, таблица 4). Два из этих пакетов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пакета Tier-1 и полный каталоговый набор представлены в текущем предварительном выпуске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и политику покрытия всех 83 форматов. Раздел 5 представляет полный каталоговый набор и поочерёдно подробно разбирает шесть пакетов уровня Tier-1.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уровня Tier-1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Смежные, но различные направления: вендор-специфичные модели и tolerance-верификация</w:t>
      </w:r>
    </w:p>
    <w:p>
      <w:pPr>
        <w:spacing w:after="120" w:line="360"/>
        <w:ind w:firstLine="283"/>
        <w:jc w:val="both"/>
      </w:pPr>
      <w:r>
        <w:rPr>
          <w:rFonts w:ascii="Times New Roman" w:cs="Times New Roman" w:eastAsia="Times New Roman" w:hAnsi="Times New Roman"/>
          <w:sz w:val="22"/>
          <w:szCs w:val="22"/>
        </w:rPr>
        <w:t xml:space="preserve">Два недавних направления легко спутать с настоящей работой, поэтому их важно явно разграничить. </w:t>
      </w:r>
      <w:r>
        <w:rPr>
          <w:rFonts w:ascii="Times New Roman" w:cs="Times New Roman" w:eastAsia="Times New Roman" w:hAnsi="Times New Roman"/>
          <w:b/>
          <w:bCs/>
          <w:sz w:val="22"/>
          <w:szCs w:val="22"/>
        </w:rPr>
        <w:t xml:space="preserve">Формальные модели тензорных ядер </w:t>
      </w:r>
      <w:r>
        <w:rPr>
          <w:rFonts w:ascii="Times New Roman" w:cs="Times New Roman" w:eastAsia="Times New Roman" w:hAnsi="Times New Roman"/>
          <w:sz w:val="22"/>
          <w:szCs w:val="22"/>
        </w:rPr>
        <w:t xml:space="preserve">(например, arXiv:2512.07004) формализуют числовое поведение конкретных вендор-блоков GEMM (порядок аккумуляции, промежуточное округление, разбиение на тайлы) для воспроизводимости аппаратного исполнения. Настоящий каталог, напротив, вендор-нейтрален и фиксирует битоточные векторы НА УРОВНЕ ПРЕДСТАВЛЕНИЯ отдельных форматов (кодирование/декодирование), а не конвейер GEMM конкретного вендора; это дополняющие, а не конкурирующие слои. </w:t>
      </w:r>
      <w:r>
        <w:rPr>
          <w:rFonts w:ascii="Times New Roman" w:cs="Times New Roman" w:eastAsia="Times New Roman" w:hAnsi="Times New Roman"/>
          <w:b/>
          <w:bCs/>
          <w:sz w:val="22"/>
          <w:szCs w:val="22"/>
        </w:rPr>
        <w:t xml:space="preserve">Tolerance-based верификация (TAO, </w:t>
      </w:r>
      <w:r>
        <w:rPr>
          <w:rFonts w:ascii="Times New Roman" w:cs="Times New Roman" w:eastAsia="Times New Roman" w:hAnsi="Times New Roman"/>
          <w:sz w:val="22"/>
          <w:szCs w:val="22"/>
        </w:rPr>
        <w:t xml:space="preserve">arXiv:2510.16028) проверяет числовые ядра с допуском (approximate equivalence в пределах заданной ошибки), тогда как пакеты соответствия настоящего каталога требуют </w:t>
      </w:r>
      <w:r>
        <w:rPr>
          <w:rFonts w:ascii="Times New Roman" w:cs="Times New Roman" w:eastAsia="Times New Roman" w:hAnsi="Times New Roman"/>
          <w:b/>
          <w:bCs/>
          <w:sz w:val="22"/>
          <w:szCs w:val="22"/>
        </w:rPr>
        <w:t xml:space="preserve">битоточного </w:t>
      </w:r>
      <w:r>
        <w:rPr>
          <w:rFonts w:ascii="Times New Roman" w:cs="Times New Roman" w:eastAsia="Times New Roman" w:hAnsi="Times New Roman"/>
          <w:sz w:val="22"/>
          <w:szCs w:val="22"/>
        </w:rPr>
        <w:t xml:space="preserve">совпадения (abs_error = 0) с независимым оракулом. Таким образом, TAO и настоящая работа решают разные задачи: допустимость приближённого равенства против детерминированного битоточного тождества.</w:t>
      </w:r>
    </w:p>
    <w:p>
      <w:pPr>
        <w:pStyle w:val="Heading2"/>
        <w:spacing w:after="110" w:before="220"/>
      </w:pPr>
      <w:r>
        <w:rPr>
          <w:rFonts w:ascii="Times New Roman" w:cs="Times New Roman" w:eastAsia="Times New Roman" w:hAnsi="Times New Roman"/>
          <w:b/>
          <w:bCs/>
          <w:color w:val="000000"/>
          <w:sz w:val="26"/>
          <w:szCs w:val="26"/>
        </w:rPr>
        <w:t xml:space="preserve">2.4.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на уровне всего каталога: набор пакетов соответствия покрывает все 83 формата (75 битоточных + 0 самосогласованных + 8 структурных), а шесть наиболее немедленно развёртываемых форматов уровня представления выделены как углублённо проверенное подмножество Tier-1 (раздел 5); NVFP4 обсуждается как ближайший кандидат на включение в Tier-1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подмножества Tier-1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 В полном каталоговом наборе поле anchor_check каждого пакета фиксирует представимость 3,0: из 75 битоточных пакетов 3,0 попадает точно на сетку (ieee754_exact: true) в 61 пакете, а в 12 — нет. Эти 12 исключений относятся к грид-теоретическим классам, где 3,0 непредставимо точно: логарифмические и тейперированно-логарифмические форматы (LNS-8/16/32/64, takum-8/16/32/64, GFTernary; log₂3 иррационально либо не попадает на лог-сетку) и наиболее грубые 4-битные сетки (GF4, MXGF4, NF4). Для этих форматов пакет честно фиксирует ближайшее представимое значение и истинную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Для остальных 2 битоточных пакетов (GF14, BCD) поле anchor_check не заполнено. Шесть широких GF-форматов (GF48, GF96, GF128, GF256, GF512, GF1024) ранее были самосогласованными (единый закон декодирования без независимого второго witness); теперь они подняты до строгой битоточности независимым вторым декодером (dyadic-exact, abs_error=0) с золотым Fraction-оракулом и аналитической границей разделения нулевого округления, что доводит достижимый программный потолок до 75 из 83 форматов (25 из которых — LNS/takum/GFTernary/GF4/MXGF4/NF4 — представляют 3,0 приближённо; см. выше). Оставшиеся 8 форматов — структурные (без единой раскладки S:E:M по основанию 2) и остаются вне битоточной оси по определению.</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2"/>
        <w:spacing w:after="110" w:before="220"/>
      </w:pPr>
      <w:r>
        <w:rPr>
          <w:rFonts w:ascii="Times New Roman" w:cs="Times New Roman" w:eastAsia="Times New Roman" w:hAnsi="Times New Roman"/>
          <w:b/>
          <w:bCs/>
          <w:color w:val="000000"/>
          <w:sz w:val="26"/>
          <w:szCs w:val="26"/>
        </w:rPr>
        <w:t xml:space="preserve">4.5. Политика покрытия всех 83 форматов</w:t>
      </w:r>
    </w:p>
    <w:p>
      <w:pPr>
        <w:spacing w:after="120" w:line="360"/>
        <w:ind w:firstLine="283"/>
        <w:jc w:val="both"/>
      </w:pPr>
      <w:r>
        <w:rPr>
          <w:rFonts w:ascii="Times New Roman" w:cs="Times New Roman" w:eastAsia="Times New Roman" w:hAnsi="Times New Roman"/>
          <w:sz w:val="22"/>
          <w:szCs w:val="22"/>
        </w:rPr>
        <w:t xml:space="preserve">Набор пакетов покрывает весь каталог — по одному пакету на каждый из 83 форматов — по детерминированной и воспроизводимой политике:</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 8 бит: </w:t>
      </w:r>
      <w:r>
        <w:rPr>
          <w:rFonts w:ascii="Times New Roman" w:cs="Times New Roman" w:eastAsia="Times New Roman" w:hAnsi="Times New Roman"/>
          <w:sz w:val="22"/>
          <w:szCs w:val="22"/>
        </w:rPr>
        <w:t xml:space="preserve">исчерпывающее перечисление всех кодов формата.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&gt; 8 бит: </w:t>
      </w:r>
      <w:r>
        <w:rPr>
          <w:rFonts w:ascii="Times New Roman" w:cs="Times New Roman" w:eastAsia="Times New Roman" w:hAnsi="Times New Roman"/>
          <w:sz w:val="22"/>
          <w:szCs w:val="22"/>
        </w:rPr>
        <w:t xml:space="preserve">курируемый набор именованных векторов (нуль, единица, два, три, половина, четыре, отрицательные и специальные значения формата) через явные кодеры — без перебора всех кодов и без многомегабайтных файлов.</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без радикс-2 раскладки S:E:M: </w:t>
      </w:r>
      <w:r>
        <w:rPr>
          <w:rFonts w:ascii="Times New Roman" w:cs="Times New Roman" w:eastAsia="Times New Roman" w:hAnsi="Times New Roman"/>
          <w:sz w:val="22"/>
          <w:szCs w:val="22"/>
        </w:rPr>
        <w:t xml:space="preserve">структурный пакет с полными метаданными каталога, пометкой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явным полем </w:t>
      </w:r>
      <w:r>
        <w:rPr>
          <w:rFonts w:ascii="Consolas" w:cs="Consolas" w:eastAsia="Consolas" w:hAnsi="Consolas"/>
          <w:sz w:val="22"/>
          <w:szCs w:val="22"/>
        </w:rPr>
        <w:t xml:space="preserve">structural_reason</w:t>
      </w:r>
      <w:r>
        <w:rPr>
          <w:rFonts w:ascii="Times New Roman" w:cs="Times New Roman" w:eastAsia="Times New Roman" w:hAnsi="Times New Roman"/>
          <w:sz w:val="22"/>
          <w:szCs w:val="22"/>
        </w:rPr>
        <w:t xml:space="preserve">. Это честные плейсхолдеры, а не утверждения о битоточности.</w:t>
      </w:r>
    </w:p>
    <w:p>
      <w:pPr>
        <w:spacing w:after="120" w:line="360"/>
        <w:ind w:firstLine="283"/>
        <w:jc w:val="both"/>
      </w:pPr>
      <w:r>
        <w:rPr>
          <w:rFonts w:ascii="Times New Roman" w:cs="Times New Roman" w:eastAsia="Times New Roman" w:hAnsi="Times New Roman"/>
          <w:sz w:val="22"/>
          <w:szCs w:val="22"/>
        </w:rPr>
        <w:t xml:space="preserve">Итог: 75 битоточных пакетов, 0 самосогласованных и 8 структурных пакетов (всего 83). Перекрёстная проверка относительно внешнего оракула ml_dtypes применяется к подмножеству Tier-1 (раздел 4.4, пункт 2); остальные битоточные пакеты на данный момент верифицируются самопроверкой кругового кодирования-декодирования, а внешняя перекрёстная проверка по мере появления эталонных реализаций расширяет Tier-1 (раздел 9).</w:t>
      </w:r>
    </w:p>
    <w:p>
      <w:pPr>
        <w:spacing w:after="120" w:line="360"/>
        <w:ind w:firstLine="283"/>
        <w:jc w:val="both"/>
      </w:pPr>
      <w:r>
        <w:rPr>
          <w:rFonts w:ascii="Times New Roman" w:cs="Times New Roman" w:eastAsia="Times New Roman" w:hAnsi="Times New Roman"/>
          <w:sz w:val="22"/>
          <w:szCs w:val="22"/>
        </w:rPr>
        <w:t xml:space="preserve">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перечисляет все 83 пакета с итогами (</w:t>
      </w:r>
      <w:r>
        <w:rPr>
          <w:rFonts w:ascii="Consolas" w:cs="Consolas" w:eastAsia="Consolas" w:hAnsi="Consolas"/>
          <w:sz w:val="22"/>
          <w:szCs w:val="22"/>
        </w:rPr>
        <w:t xml:space="preserve">total_packs: 83, bitexact_packs: 75, selfconsistent_packs: 0, structural_packs: 8</w:t>
      </w:r>
      <w:r>
        <w:rPr>
          <w:rFonts w:ascii="Times New Roman" w:cs="Times New Roman" w:eastAsia="Times New Roman" w:hAnsi="Times New Roman"/>
          <w:sz w:val="22"/>
          <w:szCs w:val="22"/>
        </w:rPr>
        <w:t xml:space="preserve">), якорным тождеством и ссылкой на SSOT.</w:t>
      </w:r>
    </w:p>
    <w:p>
      <w:pPr>
        <w:pStyle w:val="Heading1"/>
        <w:spacing w:after="140" w:before="280"/>
      </w:pPr>
      <w:r>
        <w:rPr>
          <w:rFonts w:ascii="Times New Roman" w:cs="Times New Roman" w:eastAsia="Times New Roman" w:hAnsi="Times New Roman"/>
          <w:b/>
          <w:bCs/>
          <w:color w:val="000000"/>
          <w:sz w:val="30"/>
          <w:szCs w:val="30"/>
        </w:rPr>
        <w:t xml:space="preserve">5. Полный набор пакетов и шесть пакетов Tier-1</w:t>
      </w:r>
    </w:p>
    <w:p>
      <w:pPr>
        <w:spacing w:after="120" w:line="360"/>
        <w:ind w:firstLine="283"/>
        <w:jc w:val="both"/>
      </w:pPr>
      <w:r>
        <w:rPr>
          <w:rFonts w:ascii="Times New Roman" w:cs="Times New Roman" w:eastAsia="Times New Roman" w:hAnsi="Times New Roman"/>
          <w:sz w:val="22"/>
          <w:szCs w:val="22"/>
        </w:rPr>
        <w:t xml:space="preserve">Набор пакетов соответствия покрывает все 83 формата каталога — 75 битоточных пакетов, 0 самосогласованных и 8 структурных пакетов (раздел 4.5, полный перечень и отпечатки SHA-256 —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репозитория gHashTag/t27). Далее подробно разбираются шесть пакетов уровня Tier-1, для которых выполнена дополнительная перекрёстная проверка относительно внешнего оракула. Таблица 4 даёт сводку по этим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Tier-1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b/>
          <w:bCs/>
          <w:sz w:val="22"/>
          <w:szCs w:val="22"/>
        </w:rPr>
        <w:t xml:space="preserve">Отсутствие официальных reference-векторов P3109 до 2027 г. — окно для аудируемого кандидата. </w:t>
      </w:r>
      <w:r>
        <w:rPr>
          <w:rFonts w:ascii="Times New Roman" w:cs="Times New Roman" w:eastAsia="Times New Roman" w:hAnsi="Times New Roman"/>
          <w:sz w:val="22"/>
          <w:szCs w:val="22"/>
        </w:rPr>
        <w:t xml:space="preserve">К середине 2026 г. у грядущего стандарта IEEE P3109 пока нет официального, привязанного к финальному тексту набора эталонных (reference) векторов соответствия. Главный редактор рабочей группы (Jeffrey Sarnoff, презентация июня 2026 г.) прямо констатирует, что референсные реализации существуют лишь «внутри» у отдельных участников и не могут быть предоставлены как официальный эталон, пока стандарт не утверждён («nobody can provide them as a reference implementation»). Срок действия PAR продлён, стандарт не финализирован до конца 2027 г. (IEEE NesCom, 18.06.2025). Это не означает отсутствия любого материала: существуют Lean-формализация FLoPS и параметрические реализации, но не вендор-нейтральный широкоохватный набор с аппаратным witness. </w:t>
      </w:r>
    </w:p>
    <w:p>
      <w:pPr>
        <w:spacing w:after="120" w:line="360"/>
        <w:ind w:firstLine="283"/>
        <w:jc w:val="both"/>
      </w:pPr>
      <w:r>
        <w:rPr>
          <w:rFonts w:ascii="Times New Roman" w:cs="Times New Roman" w:eastAsia="Times New Roman" w:hAnsi="Times New Roman"/>
          <w:b/>
          <w:bCs/>
          <w:sz w:val="22"/>
          <w:szCs w:val="22"/>
        </w:rPr>
        <w:t xml:space="preserve">Позиция Trinity (аудируемый кандидат, НЕ официальный эталон). </w:t>
      </w:r>
      <w:r>
        <w:rPr>
          <w:rFonts w:ascii="Times New Roman" w:cs="Times New Roman" w:eastAsia="Times New Roman" w:hAnsi="Times New Roman"/>
          <w:sz w:val="22"/>
          <w:szCs w:val="22"/>
        </w:rPr>
        <w:t xml:space="preserve">Набор пакетов этой работы обозначается как </w:t>
      </w:r>
      <w:r>
        <w:rPr>
          <w:rFonts w:ascii="Times New Roman" w:cs="Times New Roman" w:eastAsia="Times New Roman" w:hAnsi="Times New Roman"/>
          <w:b/>
          <w:bCs/>
          <w:sz w:val="22"/>
          <w:szCs w:val="22"/>
        </w:rPr>
        <w:t xml:space="preserve">«Trinity Golden Vectors» / «Золотые векторы Trinity» (TGV)</w:t>
      </w:r>
      <w:r>
        <w:rPr>
          <w:rFonts w:ascii="Times New Roman" w:cs="Times New Roman" w:eastAsia="Times New Roman" w:hAnsi="Times New Roman"/>
          <w:sz w:val="22"/>
          <w:szCs w:val="22"/>
        </w:rPr>
        <w:t xml:space="preserve"> — по устоявшемуся инженерному термину golden reference vectors из аппаратной верификации (DO-254 и практика ASIC-QA). Сами векторы порождаются и перепроверяются инструментом-оракулом </w:t>
      </w:r>
      <w:r>
        <w:rPr>
          <w:rFonts w:ascii="Times New Roman" w:cs="Times New Roman" w:eastAsia="Times New Roman" w:hAnsi="Times New Roman"/>
          <w:b/>
          <w:bCs/>
          <w:sz w:val="22"/>
          <w:szCs w:val="22"/>
        </w:rPr>
        <w:t xml:space="preserve">«Trinity Golden Oracle» (TGO)</w:t>
      </w:r>
      <w:r>
        <w:rPr>
          <w:rFonts w:ascii="Times New Roman" w:cs="Times New Roman" w:eastAsia="Times New Roman" w:hAnsi="Times New Roman"/>
          <w:sz w:val="22"/>
          <w:szCs w:val="22"/>
        </w:rPr>
        <w:t xml:space="preserve"> — эталонной («золотой») моделью-оракулом: в нашем случае это Corona-оракул в связке со вторым независимым свидетелем (ml_dtypes). То есть TGV — это продукт (набор векторов), а TGO — инструмент, их порождающий и заверяющий. TGV заполняет описанный пробел реестра </w:t>
      </w:r>
      <w:r>
        <w:rPr>
          <w:rFonts w:ascii="Times New Roman" w:cs="Times New Roman" w:eastAsia="Times New Roman" w:hAnsi="Times New Roman"/>
          <w:b/>
          <w:bCs/>
          <w:sz w:val="22"/>
          <w:szCs w:val="22"/>
        </w:rPr>
        <w:t xml:space="preserve">как открытый, независимый, аудируемый кандидат-эталон</w:t>
      </w:r>
      <w:r>
        <w:rPr>
          <w:rFonts w:ascii="Times New Roman" w:cs="Times New Roman" w:eastAsia="Times New Roman" w:hAnsi="Times New Roman"/>
          <w:sz w:val="22"/>
          <w:szCs w:val="22"/>
        </w:rPr>
        <w:t xml:space="preserve">, а не как «официальный» или «единственный». Квалификатор «Trinity» вводится сознательно: сами термины «golden vectors» / «golden oracle» — родовые и уже используются в отрасли, поэтому Trinity претендует не на термин, а на конкретный воспроизводимый артефакт. Заявление формулируется без превосходства над P3109 или вендорами: TGV — другой класс артефакта, временно заполняющий вакуум до появления официальных векторов P3109.</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полного набора пакетов соответствия на все 83 формата. Каталог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содержит все файлы пакетов, 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README с полными отпечатками SHA-256 и каталоговый генератор </w:t>
      </w:r>
      <w:r>
        <w:rPr>
          <w:rFonts w:ascii="Consolas" w:cs="Consolas" w:eastAsia="Consolas" w:hAnsi="Consolas"/>
          <w:sz w:val="22"/>
          <w:szCs w:val="22"/>
        </w:rPr>
        <w:t xml:space="preserve">gen_all_formats.py</w:t>
      </w:r>
      <w:r>
        <w:rPr>
          <w:rFonts w:ascii="Times New Roman" w:cs="Times New Roman" w:eastAsia="Times New Roman" w:hAnsi="Times New Roman"/>
          <w:sz w:val="22"/>
          <w:szCs w:val="22"/>
        </w:rPr>
        <w:t xml:space="preserve">; рядом — JSON-файлы каталога,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шесть значений SHA-256 пакетов Tier-1, якорь версии ml_dtypes и ссылку на согласование с P3109; отпечатки всех 83 пакетов перечислены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и в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Последующие потребители могут проверить целостность пакета, заново вычислив SHA-256 канонического JSON-файла и сравнив с записью в манифесте/индексе.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внешняя валидация всех 83 пакетов</w:t>
      </w:r>
    </w:p>
    <w:p>
      <w:pPr>
        <w:spacing w:after="120" w:line="360"/>
        <w:ind w:firstLine="283"/>
        <w:jc w:val="both"/>
      </w:pPr>
      <w:r>
        <w:rPr>
          <w:rFonts w:ascii="Times New Roman" w:cs="Times New Roman" w:eastAsia="Times New Roman" w:hAnsi="Times New Roman"/>
          <w:sz w:val="22"/>
          <w:szCs w:val="22"/>
        </w:rPr>
        <w:t xml:space="preserve">Набор пакетов уже покрывает все 83 формата каталога на уровне представления (75 битоточных + 0 самосогласованных + 8 структурных; раздел 4.5). Шесть пакетов уровня Tier-1 дополнительно перекрёстно проверены относительно внешнего оракула. Трек 2 (целевой срок III кв. 2026) распространит такую внешнюю валидацию на остальные битоточные пакеты и преобразует структурные пакеты в битоточные по мере появления эталонных реализаций,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парный пакет на уровне блока, закрывающий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Расширение оракульного покрытия ml_dtypes на записи MLLowPrecision (варианты FP6, FP4) и табличный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Перевод типов Posit/Unum III и тейперированных takum из структурных в битоточные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Закрепление смещений (bias) для широких вариантов GoldenFloat (GF128–GF1024), пока остающихся открытыми ИОКР-параметрами и потому записанных структурно.</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шести форматам Tier-1.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полный набор пакетов соответствия на все 83 формата (75 битоточных + 0 самосогласованных + 8 структурных) с углублённо проверенным подмножеством Tier-1 из шести пакетов,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полным набором пакетов соответствия на все 83 формата (75 битоточных + 0 самосогласованных + 8 структурных), углублённо проверенным подмножеством Tier-1 из шести пакетов,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80" w:line="264"/>
        <w:ind w:left="480" w:hanging="480"/>
        <w:jc w:val="both"/>
      </w:pPr>
      <w:r>
        <w:rPr>
          <w:rFonts w:ascii="Times New Roman" w:cs="Times New Roman" w:eastAsia="Times New Roman" w:hAnsi="Times New Roman"/>
          <w:b/>
          <w:bCs/>
          <w:sz w:val="21"/>
          <w:szCs w:val="21"/>
        </w:rPr>
        <w:t xml:space="preserve">[19] </w:t>
      </w:r>
      <w:r>
        <w:rPr>
          <w:rFonts w:ascii="Times New Roman" w:cs="Times New Roman" w:eastAsia="Times New Roman" w:hAnsi="Times New Roman"/>
          <w:sz w:val="21"/>
          <w:szCs w:val="21"/>
        </w:rPr>
        <w:t xml:space="preserve">Formal models of Tensor Core numerics for reproducible GEMM, arXiv:2512.07004, 2025. https://arxiv.org/abs/2512.07004</w:t>
      </w:r>
    </w:p>
    <w:p>
      <w:pPr>
        <w:spacing w:after="80" w:line="264"/>
        <w:ind w:left="480" w:hanging="480"/>
        <w:jc w:val="both"/>
      </w:pPr>
      <w:r>
        <w:rPr>
          <w:rFonts w:ascii="Times New Roman" w:cs="Times New Roman" w:eastAsia="Times New Roman" w:hAnsi="Times New Roman"/>
          <w:b/>
          <w:bCs/>
          <w:sz w:val="21"/>
          <w:szCs w:val="21"/>
        </w:rPr>
        <w:t xml:space="preserve">[20] </w:t>
      </w:r>
      <w:r>
        <w:rPr>
          <w:rFonts w:ascii="Times New Roman" w:cs="Times New Roman" w:eastAsia="Times New Roman" w:hAnsi="Times New Roman"/>
          <w:sz w:val="21"/>
          <w:szCs w:val="21"/>
        </w:rPr>
        <w:t xml:space="preserve">TAO: Tolerance-aware verification of numerical operators, arXiv:2510.16028, 2025. https://arxiv.org/abs/2510.16028</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znzc0otgmvwtzubyqsqr"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2026-07-29T14:17:56.813Z</dcterms:created>
  <dcterms:modified xsi:type="dcterms:W3CDTF">2026-07-29T14:17:56.814Z</dcterms:modified>
</cp:coreProperties>
</file>

<file path=docProps/custom.xml><?xml version="1.0" encoding="utf-8"?>
<Properties xmlns="http://schemas.openxmlformats.org/officeDocument/2006/custom-properties" xmlns:vt="http://schemas.openxmlformats.org/officeDocument/2006/docPropsVTypes"/>
</file>