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60"/>
        <w:jc w:val="left"/>
      </w:pPr>
      <w:r>
        <w:rPr>
          <w:rFonts w:ascii="Times New Roman" w:cs="Times New Roman" w:eastAsia="Times New Roman" w:hAnsi="Times New Roman"/>
          <w:i/>
          <w:iCs/>
          <w:sz w:val="22"/>
          <w:szCs w:val="22"/>
        </w:rPr>
        <w:t xml:space="preserve">В редакцию журнала «Искусственный интеллект и принятие решений»</w:t>
      </w:r>
    </w:p>
    <w:p>
      <w:pPr>
        <w:spacing w:after="40" w:line="360"/>
        <w:jc w:val="left"/>
      </w:pPr>
      <w:r>
        <w:rPr>
          <w:rFonts w:ascii="Times New Roman" w:cs="Times New Roman" w:eastAsia="Times New Roman" w:hAnsi="Times New Roman"/>
          <w:sz w:val="20"/>
          <w:szCs w:val="20"/>
        </w:rPr>
        <w:t xml:space="preserve">ФИЦ «Информатика и управление» РАН · научная специальность 1.2.1</w:t>
      </w:r>
    </w:p>
    <w:p>
      <w:pPr>
        <w:spacing w:after="40" w:line="360"/>
        <w:jc w:val="left"/>
      </w:pPr>
      <w:r>
        <w:rPr>
          <w:rFonts w:ascii="Times New Roman" w:cs="Times New Roman" w:eastAsia="Times New Roman" w:hAnsi="Times New Roman"/>
          <w:sz w:val="20"/>
          <w:szCs w:val="20"/>
        </w:rPr>
        <w:t xml:space="preserve">УДК 004.222</w:t>
      </w:r>
    </w:p>
    <w:p>
      <w:pPr>
        <w:pBdr>
          <w:bottom w:val="single" w:color="000000" w:sz="6" w:space="1"/>
        </w:pBdr>
        <w:spacing w:after="120" w:before="120"/>
      </w:pPr>
      <w:r>
        <w:rPr>
          <w:sz w:val="2"/>
          <w:szCs w:val="2"/>
        </w:rPr>
        <w:t xml:space="preserve"/>
      </w:r>
    </w:p>
    <w:p>
      <w:pPr>
        <w:spacing w:after="60" w:before="200"/>
        <w:jc w:val="center"/>
      </w:pPr>
      <w:r>
        <w:rPr>
          <w:rFonts w:ascii="Times New Roman" w:cs="Times New Roman" w:eastAsia="Times New Roman" w:hAnsi="Times New Roman"/>
          <w:b/>
          <w:bCs/>
          <w:sz w:val="34"/>
          <w:szCs w:val="34"/>
        </w:rPr>
        <w:t xml:space="preserve">Trinity Golden Vectors (TGV) / Золотые векторы Trinity:</w:t>
      </w:r>
    </w:p>
    <w:p>
      <w:pPr>
        <w:spacing w:after="60"/>
        <w:jc w:val="center"/>
      </w:pPr>
      <w:r>
        <w:rPr>
          <w:rFonts w:ascii="Times New Roman" w:cs="Times New Roman" w:eastAsia="Times New Roman" w:hAnsi="Times New Roman"/>
          <w:b/>
          <w:bCs/>
          <w:sz w:val="28"/>
          <w:szCs w:val="28"/>
        </w:rPr>
        <w:t xml:space="preserve">каталог из 83 численных форматов с битоточными векторами соответствия</w:t>
      </w:r>
    </w:p>
    <w:p>
      <w:pPr>
        <w:spacing w:after="240"/>
        <w:jc w:val="center"/>
      </w:pPr>
      <w:r>
        <w:rPr>
          <w:rFonts w:ascii="Times New Roman" w:cs="Times New Roman" w:eastAsia="Times New Roman" w:hAnsi="Times New Roman"/>
          <w:b/>
          <w:bCs/>
          <w:sz w:val="24"/>
          <w:szCs w:val="24"/>
        </w:rPr>
        <w:t xml:space="preserve">вендор-нейтральный аудируемый кандидат-справочник для FP8, BF16, MXFP4 и микромасштабируемых форматов</w:t>
      </w:r>
    </w:p>
    <w:p>
      <w:pPr>
        <w:spacing w:after="40"/>
        <w:jc w:val="center"/>
      </w:pPr>
      <w:r>
        <w:rPr>
          <w:rFonts w:ascii="Times New Roman" w:cs="Times New Roman" w:eastAsia="Times New Roman" w:hAnsi="Times New Roman"/>
          <w:b/>
          <w:bCs/>
          <w:sz w:val="26"/>
          <w:szCs w:val="26"/>
        </w:rPr>
        <w:t xml:space="preserve">Дмитрий Васильев (Dmitrii Vasilev)</w:t>
      </w:r>
    </w:p>
    <w:p>
      <w:pPr>
        <w:spacing w:after="40"/>
        <w:jc w:val="center"/>
      </w:pPr>
      <w:r>
        <w:rPr>
          <w:rFonts w:ascii="Times New Roman" w:cs="Times New Roman" w:eastAsia="Times New Roman" w:hAnsi="Times New Roman"/>
          <w:i/>
          <w:iCs/>
          <w:sz w:val="22"/>
          <w:szCs w:val="22"/>
        </w:rPr>
        <w:t xml:space="preserve">Независимый исследователь, Trinity S³AI</w:t>
      </w:r>
    </w:p>
    <w:p>
      <w:pPr>
        <w:spacing w:after="40"/>
        <w:jc w:val="center"/>
      </w:pPr>
      <w:r>
        <w:rPr>
          <w:rFonts w:ascii="Times New Roman" w:cs="Times New Roman" w:eastAsia="Times New Roman" w:hAnsi="Times New Roman"/>
          <w:sz w:val="22"/>
          <w:szCs w:val="22"/>
        </w:rPr>
        <w:t xml:space="preserve">Контакт: </w:t>
      </w:r>
      <w:r>
        <w:rPr>
          <w:rFonts w:ascii="Consolas" w:cs="Consolas" w:eastAsia="Consolas" w:hAnsi="Consolas"/>
          <w:sz w:val="20"/>
          <w:szCs w:val="20"/>
        </w:rPr>
        <w:t xml:space="preserve">admin@t27.ai</w:t>
      </w:r>
      <w:r>
        <w:rPr>
          <w:rFonts w:ascii="Times New Roman" w:cs="Times New Roman" w:eastAsia="Times New Roman" w:hAnsi="Times New Roman"/>
          <w:sz w:val="22"/>
          <w:szCs w:val="22"/>
        </w:rPr>
        <w:t xml:space="preserve">   ·   GitHub: </w:t>
      </w:r>
      <w:r>
        <w:rPr>
          <w:rFonts w:ascii="Consolas" w:cs="Consolas" w:eastAsia="Consolas" w:hAnsi="Consolas"/>
          <w:sz w:val="20"/>
          <w:szCs w:val="20"/>
        </w:rPr>
        <w:t xml:space="preserve">github.com/gHashTag</w:t>
      </w:r>
    </w:p>
    <w:p>
      <w:pPr>
        <w:spacing w:after="40"/>
        <w:jc w:val="center"/>
      </w:pPr>
      <w:r>
        <w:rPr>
          <w:rFonts w:ascii="Times New Roman" w:cs="Times New Roman" w:eastAsia="Times New Roman" w:hAnsi="Times New Roman"/>
          <w:sz w:val="22"/>
          <w:szCs w:val="22"/>
        </w:rPr>
        <w:t xml:space="preserve">ORCID: </w:t>
      </w:r>
      <w:hyperlink w:history="1" r:id="rIdcryku9l0731nm_jejasho">
        <w:r>
          <w:rPr>
            <w:rStyle w:val="Hyperlink"/>
            <w:rFonts w:ascii="Consolas" w:cs="Consolas" w:eastAsia="Consolas" w:hAnsi="Consolas"/>
            <w:sz w:val="20"/>
            <w:szCs w:val="20"/>
          </w:rPr>
          <w:t xml:space="preserve">0009-0008-4294-6159</w:t>
        </w:r>
      </w:hyperlink>
    </w:p>
    <w:p>
      <w:pPr>
        <w:spacing w:after="240"/>
        <w:jc w:val="center"/>
      </w:pPr>
      <w:r>
        <w:rPr>
          <w:rFonts w:ascii="Times New Roman" w:cs="Times New Roman" w:eastAsia="Times New Roman" w:hAnsi="Times New Roman"/>
          <w:i/>
          <w:iCs/>
          <w:sz w:val="20"/>
          <w:szCs w:val="20"/>
        </w:rPr>
        <w:t xml:space="preserve">Препринт v5 · 6 июля 2026 г.</w:t>
      </w:r>
    </w:p>
    <w:p>
      <w:pPr>
        <w:spacing w:after="200"/>
        <w:jc w:val="center"/>
      </w:pPr>
      <w:r>
        <w:rPr>
          <w:rFonts w:ascii="Times New Roman" w:cs="Times New Roman" w:eastAsia="Times New Roman" w:hAnsi="Times New Roman"/>
          <w:i/>
          <w:iCs/>
          <w:sz w:val="18"/>
          <w:szCs w:val="18"/>
        </w:rPr>
        <w:t xml:space="preserve">Эволюция покрытия v4→v5: в v4 (8 июня 2026 г.) набор пакетов делился как 49 битоточных / 34 структурных. К v5 покрытие пересчитано по живому SSOT-индексу INDEX_all_formats.json: шесть широких GF-форматов (GF48, GF96, GF128, GF256, GF512, GF1024), ранее самосогласованных, подняты до строгой битоточности независимым вторым декодером (dyadic-exact, abs_error=0), а прочие переклассифицированы; текущее деление — 75 битоточных / 0 самосогласованных / 8 структурных (всего 83).</w:t>
      </w:r>
    </w:p>
    <w:p>
      <w:pPr>
        <w:spacing w:after="100" w:before="120"/>
        <w:jc w:val="center"/>
      </w:pPr>
      <w:r>
        <w:rPr>
          <w:rFonts w:ascii="Times New Roman" w:cs="Times New Roman" w:eastAsia="Times New Roman" w:hAnsi="Times New Roman"/>
          <w:b/>
          <w:bCs/>
          <w:sz w:val="24"/>
          <w:szCs w:val="24"/>
        </w:rPr>
        <w:t xml:space="preserve">АННОТАЦИЯ</w:t>
      </w:r>
    </w:p>
    <w:p>
      <w:pPr>
        <w:spacing w:after="120" w:line="360"/>
        <w:ind w:firstLine="283"/>
        <w:jc w:val="both"/>
      </w:pPr>
      <w:r>
        <w:rPr>
          <w:rFonts w:ascii="Times New Roman" w:cs="Times New Roman" w:eastAsia="Times New Roman" w:hAnsi="Times New Roman"/>
          <w:sz w:val="22"/>
          <w:szCs w:val="22"/>
        </w:rPr>
        <w:t xml:space="preserve">Распространение численных форматов в аппаратном обеспечении для машинного обучения — FP8 (E4M3 и E5M2), BF16, MXFP4, блочные микромасштабируемые форматы и десятки исследовательских вариантов — опередило доступность вендор-нейтральных битоточных справочных материалов. Инженеры, переносящие модели между ускорителями, сталкиваются с незаметными расхождениями, которые трудно диагностировать без общей измерительной линейки.</w:t>
      </w:r>
    </w:p>
    <w:p>
      <w:pPr>
        <w:spacing w:after="120" w:line="360"/>
        <w:ind w:firstLine="283"/>
        <w:jc w:val="both"/>
      </w:pPr>
      <w:r>
        <w:rPr>
          <w:rFonts w:ascii="Times New Roman" w:cs="Times New Roman" w:eastAsia="Times New Roman" w:hAnsi="Times New Roman"/>
          <w:sz w:val="22"/>
          <w:szCs w:val="22"/>
        </w:rPr>
        <w:t xml:space="preserve">В настоящей статье описаны: каталог из 83 численных форматов, охватывающий 13 семейств; полный набор пакетов соответствия (conformance packs), покрывающий все 83 формата каталога (75 битоточных пакетов с круговой проверкой кодирования-декодирования, 0 самосогласованных пакетов (единый закон декодирования без независимого второго witness) и 8 структурных пакетов для форматов без фиксированной раскладки S:E:M по основанию 2); углублённое референсное подмножество из шести пакетов уровня Tier-1 для GF16, элемента MXFP4, BF16, FP8 E4M3, FP8 E5M2 и блочного масштаба E8M0, перекрёстно проверенных относительно внешнего оракула; а также кросс-уолк к IEEE P3109 v3.2.0, сопоставляющий каждый пакет Tier-1 с соответствующей конфигурируемой формой стандарта. Каждый пакет представляет собой самодостаточный документ JSON с отпечатком SHA-256, общей схемой строк и якорным вектором, кодирующим значение 3,0 — тождество </w:t>
      </w:r>
      <w:r>
        <w:rPr>
          <w:rFonts w:ascii="Times New Roman" w:cs="Times New Roman" w:eastAsia="Times New Roman" w:hAnsi="Times New Roman"/>
          <w:i/>
          <w:iCs/>
          <w:sz w:val="22"/>
          <w:szCs w:val="22"/>
        </w:rPr>
        <w:t xml:space="preserve">φ² + 1/φ² = 3</w:t>
      </w:r>
      <w:r>
        <w:rPr>
          <w:rFonts w:ascii="Times New Roman" w:cs="Times New Roman" w:eastAsia="Times New Roman" w:hAnsi="Times New Roman"/>
          <w:sz w:val="22"/>
          <w:szCs w:val="22"/>
        </w:rPr>
        <w:t xml:space="preserve"> — в качестве межпакетной проверки корректности. Пакеты подмножества Tier-1 перекрёстно проверяются относительно </w:t>
      </w:r>
      <w:r>
        <w:rPr>
          <w:rFonts w:ascii="Consolas" w:cs="Consolas" w:eastAsia="Consolas" w:hAnsi="Consolas"/>
          <w:sz w:val="22"/>
          <w:szCs w:val="22"/>
        </w:rPr>
        <w:t xml:space="preserve">ml_dtypes</w:t>
      </w:r>
      <w:r>
        <w:rPr>
          <w:rFonts w:ascii="Times New Roman" w:cs="Times New Roman" w:eastAsia="Times New Roman" w:hAnsi="Times New Roman"/>
          <w:sz w:val="22"/>
          <w:szCs w:val="22"/>
        </w:rPr>
        <w:t xml:space="preserve"> 0.5.4 (Google/JAX); любое расхождение документируется явно и интерпретируется как разрешённый спецификацией интерпретационный разрыв, а не скрывается. Работа позиционируется как заполнение реестра: она не предлагает новых форматов, не делает утверждений о точности моделей и не заявляет о превосходстве над какой-либо вендорской реализацией. Все артефакты публично доступны по адресу </w:t>
      </w:r>
      <w:r>
        <w:rPr>
          <w:rFonts w:ascii="Consolas" w:cs="Consolas" w:eastAsia="Consolas" w:hAnsi="Consolas"/>
          <w:sz w:val="22"/>
          <w:szCs w:val="22"/>
        </w:rPr>
        <w:t xml:space="preserve">github.com/gHashTag/t27</w:t>
      </w:r>
      <w:r>
        <w:rPr>
          <w:rFonts w:ascii="Times New Roman" w:cs="Times New Roman" w:eastAsia="Times New Roman" w:hAnsi="Times New Roman"/>
          <w:sz w:val="22"/>
          <w:szCs w:val="22"/>
        </w:rPr>
        <w:t xml:space="preserve"> под открытой лицензией.</w:t>
      </w:r>
    </w:p>
    <w:p>
      <w:pPr>
        <w:spacing w:after="120" w:line="360"/>
        <w:ind w:firstLine="283"/>
        <w:jc w:val="both"/>
      </w:pPr>
      <w:r>
        <w:rPr>
          <w:rFonts w:ascii="Times New Roman" w:cs="Times New Roman" w:eastAsia="Times New Roman" w:hAnsi="Times New Roman"/>
          <w:b/>
          <w:bCs/>
          <w:sz w:val="22"/>
          <w:szCs w:val="22"/>
        </w:rPr>
        <w:t xml:space="preserve">Ключевые слова: </w:t>
      </w:r>
      <w:r>
        <w:rPr>
          <w:rFonts w:ascii="Times New Roman" w:cs="Times New Roman" w:eastAsia="Times New Roman" w:hAnsi="Times New Roman"/>
          <w:sz w:val="22"/>
          <w:szCs w:val="22"/>
        </w:rPr>
        <w:t xml:space="preserve">численные форматы, форматы с плавающей точкой, conformance, IEEE P3109, золотое сечение, машинное обучение, битоточные векторы, микромасштабирование, FP8, BF16, MXFP4.</w:t>
      </w:r>
    </w:p>
    <w:p>
      <w:pPr>
        <w:spacing w:after="60" w:before="200"/>
        <w:jc w:val="center"/>
      </w:pPr>
      <w:r>
        <w:rPr>
          <w:rFonts w:ascii="Times New Roman" w:cs="Times New Roman" w:eastAsia="Times New Roman" w:hAnsi="Times New Roman"/>
          <w:b/>
          <w:bCs/>
          <w:sz w:val="30"/>
          <w:szCs w:val="30"/>
        </w:rPr>
        <w:t xml:space="preserve">Trinity Golden Vectors (TGV):</w:t>
      </w:r>
    </w:p>
    <w:p>
      <w:pPr>
        <w:spacing w:after="60"/>
        <w:jc w:val="center"/>
      </w:pPr>
      <w:r>
        <w:rPr>
          <w:rFonts w:ascii="Times New Roman" w:cs="Times New Roman" w:eastAsia="Times New Roman" w:hAnsi="Times New Roman"/>
          <w:b/>
          <w:bCs/>
          <w:sz w:val="24"/>
          <w:szCs w:val="24"/>
        </w:rPr>
        <w:t xml:space="preserve">an 83-format numeric catalog with catalog-wide conformance vectors</w:t>
      </w:r>
    </w:p>
    <w:p>
      <w:pPr>
        <w:spacing w:after="160"/>
        <w:jc w:val="center"/>
      </w:pPr>
      <w:r>
        <w:rPr>
          <w:rFonts w:ascii="Times New Roman" w:cs="Times New Roman" w:eastAsia="Times New Roman" w:hAnsi="Times New Roman"/>
          <w:b/>
          <w:bCs/>
          <w:sz w:val="22"/>
          <w:szCs w:val="22"/>
        </w:rPr>
        <w:t xml:space="preserve">a vendor-neutral, auditable candidate reference for FP8, BF16, MXFP4 and microscaling formats</w:t>
      </w:r>
    </w:p>
    <w:p>
      <w:pPr>
        <w:spacing w:after="40"/>
        <w:jc w:val="center"/>
      </w:pPr>
      <w:r>
        <w:rPr>
          <w:rFonts w:ascii="Times New Roman" w:cs="Times New Roman" w:eastAsia="Times New Roman" w:hAnsi="Times New Roman"/>
          <w:b/>
          <w:bCs/>
          <w:sz w:val="24"/>
          <w:szCs w:val="24"/>
        </w:rPr>
        <w:t xml:space="preserve">Dmitrii Vasilev</w:t>
      </w:r>
    </w:p>
    <w:p>
      <w:pPr>
        <w:spacing w:after="160"/>
        <w:jc w:val="center"/>
      </w:pPr>
      <w:r>
        <w:rPr>
          <w:rFonts w:ascii="Times New Roman" w:cs="Times New Roman" w:eastAsia="Times New Roman" w:hAnsi="Times New Roman"/>
          <w:i/>
          <w:iCs/>
          <w:sz w:val="20"/>
          <w:szCs w:val="20"/>
        </w:rPr>
        <w:t xml:space="preserve">Independent researcher, Trinity S³AI · ORCID 0009-0008-4294-6159</w:t>
      </w:r>
    </w:p>
    <w:p>
      <w:pPr>
        <w:spacing w:after="80" w:before="80"/>
        <w:jc w:val="center"/>
      </w:pPr>
      <w:r>
        <w:rPr>
          <w:rFonts w:ascii="Times New Roman" w:cs="Times New Roman" w:eastAsia="Times New Roman" w:hAnsi="Times New Roman"/>
          <w:b/>
          <w:bCs/>
          <w:sz w:val="22"/>
          <w:szCs w:val="22"/>
        </w:rPr>
        <w:t xml:space="preserve">ABSTRACT</w:t>
      </w:r>
    </w:p>
    <w:p>
      <w:pPr>
        <w:spacing w:after="120" w:line="360"/>
        <w:jc w:val="both"/>
      </w:pPr>
      <w:r>
        <w:rPr>
          <w:rFonts w:ascii="Times New Roman" w:cs="Times New Roman" w:eastAsia="Times New Roman" w:hAnsi="Times New Roman"/>
          <w:sz w:val="22"/>
          <w:szCs w:val="22"/>
        </w:rPr>
        <w:t xml:space="preserve">The proliferation of numeric formats in machine-learning hardware — FP8 (E4M3 and E5M2), BF16, MXFP4, block microscaling formats and dozens of research variants — has outpaced the availability of vendor-neutral, bit-exact reference material. This paper presents: a catalog of 83 numeric formats spanning 13 families; a complete conformance-pack set covering all 83 catalog formats (75 bit-exact packs with encode-decode round-trip checking, 0 self-consistent packs (single decode law without an independent second witness), and 8 structural packs for formats that have no fixed radix-2 S:E:M layout); a deeply validated Tier-1 reference subset of six packs for GF16, the MXFP4 element, BF16, FP8 E4M3, FP8 E5M2 and the E8M0 block scale, cross-checked against an external oracle; and a crosswalk to IEEE P3109 v3.2.0 mapping each Tier-1 pack to its configurable form of the standard. Every pack is a self-contained JSON document with a SHA-256 fingerprint, a shared row schema and an anchor vector encoding the value 3.0 — the identity phi^2 + 1/phi^2 = 3 — as a cross-pack correctness check. The Tier-1 packs are cross-checked against ml_dtypes 0.5.4 (Google/JAX); any discrepancy is documented explicitly and interpreted as a specification-permitted interpretive gap rather than hidden. The work is positioned as registry-filling: it proposes no new formats, makes no model-accuracy claim and asserts no superiority over any vendor implementation. All artefacts are publicly available at github.com/gHashTag/t27 under an open license.</w:t>
      </w:r>
    </w:p>
    <w:p>
      <w:pPr>
        <w:spacing w:after="120" w:line="36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numeric formats, floating point, conformance, IEEE P3109, golden ratio, machine learning, bit-exact vectors, microscaling, FP8, BF16, MXFP4.</w:t>
      </w:r>
    </w:p>
    <w:p>
      <w:pPr>
        <w:pBdr>
          <w:bottom w:val="single" w:color="000000" w:sz="6" w:space="1"/>
        </w:pBdr>
        <w:spacing w:after="120" w:before="120"/>
      </w:pPr>
      <w:r>
        <w:rPr>
          <w:sz w:val="2"/>
          <w:szCs w:val="2"/>
        </w:rPr>
        <w:t xml:space="preserve"/>
      </w:r>
    </w:p>
    <w:p>
      <w:pPr>
        <w:spacing w:after="120" w:line="360"/>
        <w:jc w:val="both"/>
      </w:pPr>
      <w:r>
        <w:rPr>
          <w:rFonts w:ascii="Times New Roman" w:cs="Times New Roman" w:eastAsia="Times New Roman" w:hAnsi="Times New Roman"/>
          <w:b/>
          <w:bCs/>
          <w:sz w:val="20"/>
          <w:szCs w:val="20"/>
        </w:rPr>
        <w:t xml:space="preserve">Сведения для редакции. </w:t>
      </w:r>
      <w:r>
        <w:rPr>
          <w:rFonts w:ascii="Times New Roman" w:cs="Times New Roman" w:eastAsia="Times New Roman" w:hAnsi="Times New Roman"/>
          <w:sz w:val="20"/>
          <w:szCs w:val="20"/>
        </w:rPr>
        <w:t xml:space="preserve">Статья оригинальна, ранее не публиковалась и не подавалась в другие издания. Конфликт интересов отсутствует, внешнее финансирование не привлекалось. Рукопись оформлена единым файлом MS Word (.docx) и содержит русско- и англоязычные версии названия, сведений об авторе, аннотации и ключевых слов; текст чёрно-белый, формат А4. По требованию редакции автор готов предоставить лицензионный договор (скан) и экспертное заключение о возможности открытого опубликования. Тема письма при подаче: «ИИПР Васильев». Контактная эл. почта: admin@t27.ai.</w:t>
      </w:r>
    </w:p>
    <w:p>
      <w:pPr>
        <w:pStyle w:val="Heading1"/>
        <w:spacing w:after="140" w:before="280"/>
      </w:pPr>
      <w:r>
        <w:rPr>
          <w:rFonts w:ascii="Times New Roman" w:cs="Times New Roman" w:eastAsia="Times New Roman" w:hAnsi="Times New Roman"/>
          <w:b/>
          <w:bCs/>
          <w:color w:val="000000"/>
          <w:sz w:val="30"/>
          <w:szCs w:val="30"/>
        </w:rPr>
        <w:t xml:space="preserve">1. Введение</w:t>
      </w:r>
    </w:p>
    <w:p>
      <w:pPr>
        <w:spacing w:after="120" w:line="360"/>
        <w:ind w:firstLine="283"/>
        <w:jc w:val="both"/>
      </w:pPr>
      <w:r>
        <w:rPr>
          <w:rFonts w:ascii="Times New Roman" w:cs="Times New Roman" w:eastAsia="Times New Roman" w:hAnsi="Times New Roman"/>
          <w:sz w:val="22"/>
          <w:szCs w:val="22"/>
        </w:rPr>
        <w:t xml:space="preserve">Представьте себе механика, которому нужно подогнать деталь под спецификацию токарного станка, но линейка в его руках использует единицы, слегка отличающиеся от тех, что указаны на чертеже. Деталь может выглядеть правильной; расхождение проявляется только под нагрузкой. Тот же сценарий разыгрывается в прошивках ML-ускорителей: два чипа могут одновременно заявлять о «поддержке FP8 E4M3», однако незаметно различаться в обработке случая переполнения для входного значения вроде 1000,0 — один насыщается до максимального конечного значения 448,0, другой переходит в NaN. Спецификация OCP Microscaling допускает оба варианта. Без общего битоточного эталона перенесённая модель может выдавать численно различающиеся результаты, которые трудно локализовать.</w:t>
      </w:r>
    </w:p>
    <w:p>
      <w:pPr>
        <w:spacing w:after="120" w:line="360"/>
        <w:ind w:firstLine="283"/>
        <w:jc w:val="both"/>
      </w:pPr>
      <w:r>
        <w:rPr>
          <w:rFonts w:ascii="Times New Roman" w:cs="Times New Roman" w:eastAsia="Times New Roman" w:hAnsi="Times New Roman"/>
          <w:sz w:val="22"/>
          <w:szCs w:val="22"/>
        </w:rPr>
        <w:t xml:space="preserve">В настоящей статье описаны два артефакта, призванные служить такой общей линейкой.</w:t>
      </w:r>
    </w:p>
    <w:p>
      <w:pPr>
        <w:spacing w:after="120" w:line="360"/>
        <w:ind w:firstLine="283"/>
        <w:jc w:val="both"/>
      </w:pPr>
      <w:r>
        <w:rPr>
          <w:rFonts w:ascii="Times New Roman" w:cs="Times New Roman" w:eastAsia="Times New Roman" w:hAnsi="Times New Roman"/>
          <w:b/>
          <w:bCs/>
          <w:sz w:val="22"/>
          <w:szCs w:val="22"/>
        </w:rPr>
        <w:t xml:space="preserve">Вклад 1: каталог из 83 численных форматов. </w:t>
      </w:r>
      <w:r>
        <w:rPr>
          <w:rFonts w:ascii="Times New Roman" w:cs="Times New Roman" w:eastAsia="Times New Roman" w:hAnsi="Times New Roman"/>
          <w:sz w:val="22"/>
          <w:szCs w:val="22"/>
        </w:rPr>
        <w:t xml:space="preserve">Каталог </w:t>
      </w:r>
      <w:r>
        <w:rPr>
          <w:rFonts w:ascii="Consolas" w:cs="Consolas" w:eastAsia="Consolas" w:hAnsi="Consolas"/>
          <w:sz w:val="22"/>
          <w:szCs w:val="22"/>
        </w:rPr>
        <w:t xml:space="preserve">t27</w:t>
      </w:r>
      <w:r>
        <w:rPr>
          <w:rFonts w:ascii="Times New Roman" w:cs="Times New Roman" w:eastAsia="Times New Roman" w:hAnsi="Times New Roman"/>
          <w:sz w:val="22"/>
          <w:szCs w:val="22"/>
        </w:rPr>
        <w:t xml:space="preserve"> перечисляет 83 численных формата в 13 семействах (раздел 3). Каждая запись несёт единообразную схему: разрядную раскладку, смещение порядка (bias), политику бесконечности/NaN, политику насыщения, максимальное конечное значение, минимальное нормальное значение, минимальное субнормальное число и метку статуса утверждения (Verified / Empirical_fit / Open_conjecture / Risk / Retracted). Каталог хранится как единый источник истины и кросс-компилируется в Markdown, JSON, Python, Rust, C и TypeScript посредством шаблонного инструмента.</w:t>
      </w:r>
    </w:p>
    <w:p>
      <w:pPr>
        <w:spacing w:after="120" w:line="360"/>
        <w:ind w:firstLine="283"/>
        <w:jc w:val="both"/>
      </w:pPr>
      <w:r>
        <w:rPr>
          <w:rFonts w:ascii="Times New Roman" w:cs="Times New Roman" w:eastAsia="Times New Roman" w:hAnsi="Times New Roman"/>
          <w:b/>
          <w:bCs/>
          <w:sz w:val="22"/>
          <w:szCs w:val="22"/>
        </w:rPr>
        <w:t xml:space="preserve">Вклад 2: полный набор пакетов соответствия на весь каталог. </w:t>
      </w:r>
      <w:r>
        <w:rPr>
          <w:rFonts w:ascii="Times New Roman" w:cs="Times New Roman" w:eastAsia="Times New Roman" w:hAnsi="Times New Roman"/>
          <w:sz w:val="22"/>
          <w:szCs w:val="22"/>
        </w:rPr>
        <w:t xml:space="preserve">Набор пакетов (раздел 5) покрывает все 83 формата каталога — по одному пакету на формат, без пропусков. Из них 75 пакетов битоточны (нативные биты декодируются в f64 точно, с проверкой кругового кодирования-декодирования); в их число входят шесть широких GF-форматов (GF48, GF96, GF128, GF256, GF512, GF1024), ранее классифицированных как самосогласованные, а теперь поднятых до строгой битоточности независимым вторым декодером (dyadic-exact, abs_error=0). Самосогласованных пакетов не осталось (0). Оставшиеся 8 — структурны (форматы без единой фиксированной раскладки S:E:M по основанию 2 — параметрические, табличные, по основанию 16, тейперированно-логарифмические, расширенной точности или с открытыми ИОКР-параметрами), помеченные </w:t>
      </w:r>
      <w:r>
        <w:rPr>
          <w:rFonts w:ascii="Consolas" w:cs="Consolas" w:eastAsia="Consolas" w:hAnsi="Consolas"/>
          <w:sz w:val="22"/>
          <w:szCs w:val="22"/>
        </w:rPr>
        <w:t xml:space="preserve">bitexact: false</w:t>
      </w:r>
      <w:r>
        <w:rPr>
          <w:rFonts w:ascii="Times New Roman" w:cs="Times New Roman" w:eastAsia="Times New Roman" w:hAnsi="Times New Roman"/>
          <w:sz w:val="22"/>
          <w:szCs w:val="22"/>
        </w:rPr>
        <w:t xml:space="preserve"> и несущие явное поле обоснования. Внутри этого набора выделено референсное подмножество из шести пакетов уровня Tier-1, наиболее часто встречающихся в современном промышленном оборудовании и дополнительно перекрёстно проверенных относительно внешнего оракула: GoldenFloat 16 (GF16), элемент MXFP4, BF16, FP8 E4M3, FP8 E5M2 и блочный масштаб E8M0 (раздел 5, таблица 4). Два из этих пакетов (GF16 и MXFP4) уже доступны в PyPI-пакете </w:t>
      </w:r>
      <w:r>
        <w:rPr>
          <w:rFonts w:ascii="Consolas" w:cs="Consolas" w:eastAsia="Consolas" w:hAnsi="Consolas"/>
          <w:sz w:val="22"/>
          <w:szCs w:val="22"/>
        </w:rPr>
        <w:t xml:space="preserve">tt-lang-t27</w:t>
      </w:r>
      <w:r>
        <w:rPr>
          <w:rFonts w:ascii="Times New Roman" w:cs="Times New Roman" w:eastAsia="Times New Roman" w:hAnsi="Times New Roman"/>
          <w:sz w:val="22"/>
          <w:szCs w:val="22"/>
        </w:rPr>
        <w:t xml:space="preserve"> v0.3.1; остальные четыре пакета Tier-1 и полный каталоговый набор представлены в текущем предварительном выпуске по адресу </w:t>
      </w:r>
      <w:r>
        <w:rPr>
          <w:rFonts w:ascii="Consolas" w:cs="Consolas" w:eastAsia="Consolas" w:hAnsi="Consolas"/>
          <w:sz w:val="22"/>
          <w:szCs w:val="22"/>
        </w:rPr>
        <w:t xml:space="preserve">github.com/gHashTag/tt-lang-t27/pull/6</w:t>
      </w:r>
      <w:r>
        <w:rPr>
          <w:rFonts w:ascii="Times New Roman" w:cs="Times New Roman" w:eastAsia="Times New Roman" w:hAnsi="Times New Roman"/>
          <w:sz w:val="22"/>
          <w:szCs w:val="22"/>
        </w:rPr>
        <w:t xml:space="preserve">.</w:t>
      </w:r>
    </w:p>
    <w:p>
      <w:pPr>
        <w:spacing w:after="120" w:line="360"/>
        <w:ind w:firstLine="283"/>
        <w:jc w:val="both"/>
      </w:pPr>
      <w:r>
        <w:rPr>
          <w:rFonts w:ascii="Times New Roman" w:cs="Times New Roman" w:eastAsia="Times New Roman" w:hAnsi="Times New Roman"/>
          <w:b/>
          <w:bCs/>
          <w:sz w:val="22"/>
          <w:szCs w:val="22"/>
        </w:rPr>
        <w:t xml:space="preserve">Чем эта статья не является. </w:t>
      </w:r>
      <w:r>
        <w:rPr>
          <w:rFonts w:ascii="Times New Roman" w:cs="Times New Roman" w:eastAsia="Times New Roman" w:hAnsi="Times New Roman"/>
          <w:sz w:val="22"/>
          <w:szCs w:val="22"/>
        </w:rPr>
        <w:t xml:space="preserve">В работе не приводятся бенчмарки точности моделей, не предлагаются новые форматы и не проводятся сравнения производительности между вендорами. Читателям, которым нужен анализ пропускной способности FLOP или результаты по точности квантования, следует обратиться к отдельной литературе.</w:t>
      </w:r>
    </w:p>
    <w:p>
      <w:pPr>
        <w:spacing w:after="120" w:line="360"/>
        <w:ind w:firstLine="283"/>
        <w:jc w:val="both"/>
      </w:pPr>
      <w:r>
        <w:rPr>
          <w:rFonts w:ascii="Times New Roman" w:cs="Times New Roman" w:eastAsia="Times New Roman" w:hAnsi="Times New Roman"/>
          <w:b/>
          <w:bCs/>
          <w:sz w:val="22"/>
          <w:szCs w:val="22"/>
        </w:rPr>
        <w:t xml:space="preserve">Структура статьи. </w:t>
      </w:r>
      <w:r>
        <w:rPr>
          <w:rFonts w:ascii="Times New Roman" w:cs="Times New Roman" w:eastAsia="Times New Roman" w:hAnsi="Times New Roman"/>
          <w:sz w:val="22"/>
          <w:szCs w:val="22"/>
        </w:rPr>
        <w:t xml:space="preserve">Раздел 2 рассматривает соответствующий ландшафт стандартов. Раздел 3 описывает устройство каталога. Раздел 4 определяет методологию пакетов соответствия и политику покрытия всех 83 форматов. Раздел 5 представляет полный каталоговый набор и поочерёдно подробно разбирает шесть пакетов уровня Tier-1. Раздел 6 предоставляет кросс-уолк к IEEE P3109. Раздел 7 обсуждает интерпретационный разрыв как проектную особенность. Раздел 8 охватывает воспроизводимость и происхождение. Раздел 9 намечает будущую работу. Раздел 10 формулирует ограничения.</w:t>
      </w:r>
    </w:p>
    <w:p>
      <w:pPr>
        <w:spacing w:after="120" w:line="360"/>
        <w:ind w:firstLine="283"/>
        <w:jc w:val="both"/>
      </w:pPr>
      <w:r>
        <w:rPr>
          <w:rFonts w:ascii="Times New Roman" w:cs="Times New Roman" w:eastAsia="Times New Roman" w:hAnsi="Times New Roman"/>
          <w:b/>
          <w:bCs/>
          <w:sz w:val="22"/>
          <w:szCs w:val="22"/>
        </w:rPr>
        <w:t xml:space="preserve">Историческая преемственность. </w:t>
      </w:r>
      <w:r>
        <w:rPr>
          <w:rFonts w:ascii="Times New Roman" w:cs="Times New Roman" w:eastAsia="Times New Roman" w:hAnsi="Times New Roman"/>
          <w:sz w:val="22"/>
          <w:szCs w:val="22"/>
        </w:rPr>
        <w:t xml:space="preserve">Один из шести пакетов уровня Tier-1 — GoldenFloat 16 (GF16) — относится к отечественной линии исследований оригинальных систем представления чисел, начатой троичной ЭВМ «Сетунь» под руководством Н. П. Брусенцова (Вычислительный центр МГУ, 1958) — первой в мире машиной на симметричном троичном коде (−1, 0, +1), а в «Сетунь-70» (1970) — с введённым троичным форматом «трайт» и оптимизированным диапазоном мантиссы нормализованного числа. По доступным открытым источникам, GF16 — один из первых именованных числовых форматов российского авторства, доведённых до уровня публикации и аппаратной реализации (FPGA).</w:t>
      </w:r>
    </w:p>
    <w:p>
      <w:pPr>
        <w:pStyle w:val="Heading1"/>
        <w:spacing w:after="140" w:before="280"/>
      </w:pPr>
      <w:r>
        <w:rPr>
          <w:rFonts w:ascii="Times New Roman" w:cs="Times New Roman" w:eastAsia="Times New Roman" w:hAnsi="Times New Roman"/>
          <w:b/>
          <w:bCs/>
          <w:color w:val="000000"/>
          <w:sz w:val="30"/>
          <w:szCs w:val="30"/>
        </w:rPr>
        <w:t xml:space="preserve">2. Предпосылки и предшествующие работы</w:t>
      </w:r>
    </w:p>
    <w:p>
      <w:pPr>
        <w:spacing w:after="120" w:line="360"/>
        <w:ind w:firstLine="283"/>
        <w:jc w:val="both"/>
      </w:pPr>
      <w:r>
        <w:rPr>
          <w:rFonts w:ascii="Times New Roman" w:cs="Times New Roman" w:eastAsia="Times New Roman" w:hAnsi="Times New Roman"/>
          <w:sz w:val="22"/>
          <w:szCs w:val="22"/>
        </w:rPr>
        <w:t xml:space="preserve">Распространение низкоточных форматов с плавающей точкой в аппаратном обеспечении для машинного обучения было охарактеризовано — ещё в популярном эссе 2017 года — как «дикий запад компьютерной арифметики». Почти десятилетие спустя ландшафт стал богаче (больше вендоров, больше блочных форматов, больше исследовательских вариантов), однако вендор-нейтральные битоточные справочные материалы не поспевают за ним.</w:t>
      </w:r>
    </w:p>
    <w:p>
      <w:pPr>
        <w:pStyle w:val="Heading2"/>
        <w:spacing w:after="110" w:before="220"/>
      </w:pPr>
      <w:r>
        <w:rPr>
          <w:rFonts w:ascii="Times New Roman" w:cs="Times New Roman" w:eastAsia="Times New Roman" w:hAnsi="Times New Roman"/>
          <w:b/>
          <w:bCs/>
          <w:color w:val="000000"/>
          <w:sz w:val="26"/>
          <w:szCs w:val="26"/>
        </w:rPr>
        <w:t xml:space="preserve">2.1. Стандарты с плавающей точкой</w:t>
      </w:r>
    </w:p>
    <w:p>
      <w:pPr>
        <w:spacing w:after="120" w:line="360"/>
        <w:ind w:firstLine="283"/>
        <w:jc w:val="both"/>
      </w:pPr>
      <w:r>
        <w:rPr>
          <w:rFonts w:ascii="Times New Roman" w:cs="Times New Roman" w:eastAsia="Times New Roman" w:hAnsi="Times New Roman"/>
          <w:sz w:val="22"/>
          <w:szCs w:val="22"/>
        </w:rPr>
        <w:t xml:space="preserve">IEEE 754-2019 определяет двоичные форматы обмена (binary16, binary32, binary64, binary128) и правила округления, переполнения и обработки NaN, которые ими управляют. BF16 (brain float 16) отсутствует в редакции 2019 года; он возник неформально в Google Brain и теперь поддерживается аппаратурой Intel, AMD, ARM и NVIDIA, разделяя диапазон порядка FP32 (8 бит порядка, смещение порядка = 127) с 7-битной мантиссой.</w:t>
      </w:r>
    </w:p>
    <w:p>
      <w:pPr>
        <w:spacing w:after="120" w:line="360"/>
        <w:ind w:firstLine="283"/>
        <w:jc w:val="both"/>
      </w:pPr>
      <w:r>
        <w:rPr>
          <w:rFonts w:ascii="Times New Roman" w:cs="Times New Roman" w:eastAsia="Times New Roman" w:hAnsi="Times New Roman"/>
          <w:sz w:val="22"/>
          <w:szCs w:val="22"/>
        </w:rPr>
        <w:t xml:space="preserve">Форматы FP8 прошли схожую траекторию «сначала неформально, затем формально». Нун (Noune) и др. в 2022 году провели обзор 8-битных численных форматов для глубоких нейронных сетей, мотивировав варианты E4M3 и E5M2, впоследствии принятые в OCP MX и IEEE P3109.</w:t>
      </w:r>
    </w:p>
    <w:p>
      <w:pPr>
        <w:spacing w:after="120" w:line="360"/>
        <w:ind w:firstLine="283"/>
        <w:jc w:val="both"/>
      </w:pPr>
      <w:r>
        <w:rPr>
          <w:rFonts w:ascii="Times New Roman" w:cs="Times New Roman" w:eastAsia="Times New Roman" w:hAnsi="Times New Roman"/>
          <w:sz w:val="22"/>
          <w:szCs w:val="22"/>
        </w:rPr>
        <w:t xml:space="preserve">Спецификация OCP Microscaling (MX) v1.0 вводит блочные форматы, в которых группы из 32 элементов разделяют общий масштабный множитель E8M0. Типы элементов включают MXFP4 (S1E2M1), MXFP6 (E2M3 и E3M2), MXFP8 (E4M3 и E5M2) и MXINT8. OCP MX явно допускает две политики переполнения для FP8 E4M3: насыщение до максимального конечного значения (используется в реализациях tt-metal и AMD) и переполнение в NaN (используется в JAX/TPU).</w:t>
      </w:r>
    </w:p>
    <w:p>
      <w:pPr>
        <w:spacing w:after="120" w:line="360"/>
        <w:ind w:firstLine="283"/>
        <w:jc w:val="both"/>
      </w:pPr>
      <w:r>
        <w:rPr>
          <w:rFonts w:ascii="Times New Roman" w:cs="Times New Roman" w:eastAsia="Times New Roman" w:hAnsi="Times New Roman"/>
          <w:sz w:val="22"/>
          <w:szCs w:val="22"/>
        </w:rPr>
        <w:t xml:space="preserve">NVFP4 от NVIDIA — недавний 4-битный вариант, сочетающий элемент в стиле MXFP4 (S1E2M1) с 16-элементным блоком (меньшим, чем 32-элементный блок OCP MX) и использующий блочный масштаб FP8 E4M3 вместо E8M0. На момент написания NVFP4 задокументирован в форме технического блога NVIDIA и программных стеков Blackwell/Rubin; он пока не охвачен открытой межвендорной спецификацией. M²XFP далее обобщает микромасштабирование, допуская смешанные точности элементов внутри блока, причём аппаратная реализуемость исследуется в горизонте ASPLOS ’26.</w:t>
      </w:r>
    </w:p>
    <w:p>
      <w:pPr>
        <w:spacing w:after="120" w:line="360"/>
        <w:ind w:firstLine="283"/>
        <w:jc w:val="both"/>
      </w:pPr>
      <w:r>
        <w:rPr>
          <w:rFonts w:ascii="Times New Roman" w:cs="Times New Roman" w:eastAsia="Times New Roman" w:hAnsi="Times New Roman"/>
          <w:sz w:val="22"/>
          <w:szCs w:val="22"/>
        </w:rPr>
        <w:t xml:space="preserve">IEEE P3109 — активная рабочая группа, стандартизирующая 8-битные и 4-битные форматы с плавающей точкой для задач ИИ. Её промежуточный отчёт v3.2.0 определяет Binary8p3se и Binary4p1sf (среди прочих) и каталог </w:t>
      </w:r>
      <w:r>
        <w:rPr>
          <w:rFonts w:ascii="Consolas" w:cs="Consolas" w:eastAsia="Consolas" w:hAnsi="Consolas"/>
          <w:sz w:val="22"/>
          <w:szCs w:val="22"/>
        </w:rPr>
        <w:t xml:space="preserve">StandardOperations.yaml</w:t>
      </w:r>
      <w:r>
        <w:rPr>
          <w:rFonts w:ascii="Times New Roman" w:cs="Times New Roman" w:eastAsia="Times New Roman" w:hAnsi="Times New Roman"/>
          <w:sz w:val="22"/>
          <w:szCs w:val="22"/>
        </w:rPr>
        <w:t xml:space="preserve"> из приблизительно 80 операций в семи категориях.</w:t>
      </w:r>
    </w:p>
    <w:p>
      <w:pPr>
        <w:pStyle w:val="Heading2"/>
        <w:spacing w:after="110" w:before="220"/>
      </w:pPr>
      <w:r>
        <w:rPr>
          <w:rFonts w:ascii="Times New Roman" w:cs="Times New Roman" w:eastAsia="Times New Roman" w:hAnsi="Times New Roman"/>
          <w:b/>
          <w:bCs/>
          <w:color w:val="000000"/>
          <w:sz w:val="26"/>
          <w:szCs w:val="26"/>
        </w:rPr>
        <w:t xml:space="preserve">2.2. Существующие эталонные реализации</w:t>
      </w:r>
    </w:p>
    <w:p>
      <w:pPr>
        <w:spacing w:after="120" w:line="360"/>
        <w:ind w:firstLine="283"/>
        <w:jc w:val="both"/>
      </w:pPr>
      <w:r>
        <w:rPr>
          <w:rFonts w:ascii="Times New Roman" w:cs="Times New Roman" w:eastAsia="Times New Roman" w:hAnsi="Times New Roman"/>
          <w:b/>
          <w:bCs/>
          <w:sz w:val="22"/>
          <w:szCs w:val="22"/>
        </w:rPr>
        <w:t xml:space="preserve">ml_dtypes </w:t>
      </w:r>
      <w:r>
        <w:rPr>
          <w:rFonts w:ascii="Times New Roman" w:cs="Times New Roman" w:eastAsia="Times New Roman" w:hAnsi="Times New Roman"/>
          <w:sz w:val="22"/>
          <w:szCs w:val="22"/>
        </w:rPr>
        <w:t xml:space="preserve">(Google/JAX) — библиотека Python/C++, предоставляющая эталонные реализации </w:t>
      </w:r>
      <w:r>
        <w:rPr>
          <w:rFonts w:ascii="Consolas" w:cs="Consolas" w:eastAsia="Consolas" w:hAnsi="Consolas"/>
          <w:sz w:val="22"/>
          <w:szCs w:val="22"/>
        </w:rPr>
        <w:t xml:space="preserve">bfloat16</w:t>
      </w:r>
      <w:r>
        <w:rPr>
          <w:rFonts w:ascii="Times New Roman" w:cs="Times New Roman" w:eastAsia="Times New Roman" w:hAnsi="Times New Roman"/>
          <w:sz w:val="22"/>
          <w:szCs w:val="22"/>
        </w:rPr>
        <w:t xml:space="preserve">, </w:t>
      </w:r>
      <w:r>
        <w:rPr>
          <w:rFonts w:ascii="Consolas" w:cs="Consolas" w:eastAsia="Consolas" w:hAnsi="Consolas"/>
          <w:sz w:val="22"/>
          <w:szCs w:val="22"/>
        </w:rPr>
        <w:t xml:space="preserve">float8_e4m3fn</w:t>
      </w:r>
      <w:r>
        <w:rPr>
          <w:rFonts w:ascii="Times New Roman" w:cs="Times New Roman" w:eastAsia="Times New Roman" w:hAnsi="Times New Roman"/>
          <w:sz w:val="22"/>
          <w:szCs w:val="22"/>
        </w:rPr>
        <w:t xml:space="preserve">, </w:t>
      </w:r>
      <w:r>
        <w:rPr>
          <w:rFonts w:ascii="Consolas" w:cs="Consolas" w:eastAsia="Consolas" w:hAnsi="Consolas"/>
          <w:sz w:val="22"/>
          <w:szCs w:val="22"/>
        </w:rPr>
        <w:t xml:space="preserve">float8_e5m2</w:t>
      </w:r>
      <w:r>
        <w:rPr>
          <w:rFonts w:ascii="Times New Roman" w:cs="Times New Roman" w:eastAsia="Times New Roman" w:hAnsi="Times New Roman"/>
          <w:sz w:val="22"/>
          <w:szCs w:val="22"/>
        </w:rPr>
        <w:t xml:space="preserve">, </w:t>
      </w:r>
      <w:r>
        <w:rPr>
          <w:rFonts w:ascii="Consolas" w:cs="Consolas" w:eastAsia="Consolas" w:hAnsi="Consolas"/>
          <w:sz w:val="22"/>
          <w:szCs w:val="22"/>
        </w:rPr>
        <w:t xml:space="preserve">float8_e8m0fnu</w:t>
      </w:r>
      <w:r>
        <w:rPr>
          <w:rFonts w:ascii="Times New Roman" w:cs="Times New Roman" w:eastAsia="Times New Roman" w:hAnsi="Times New Roman"/>
          <w:sz w:val="22"/>
          <w:szCs w:val="22"/>
        </w:rPr>
        <w:t xml:space="preserve"> и нескольких других форматов. Она служит эталонным оракулом на протяжении всей настоящей работы.</w:t>
      </w:r>
    </w:p>
    <w:p>
      <w:pPr>
        <w:spacing w:after="120" w:line="360"/>
        <w:ind w:firstLine="283"/>
        <w:jc w:val="both"/>
      </w:pPr>
      <w:r>
        <w:rPr>
          <w:rFonts w:ascii="Times New Roman" w:cs="Times New Roman" w:eastAsia="Times New Roman" w:hAnsi="Times New Roman"/>
          <w:b/>
          <w:bCs/>
          <w:sz w:val="22"/>
          <w:szCs w:val="22"/>
        </w:rPr>
        <w:t xml:space="preserve">P3109 FLoPS </w:t>
      </w:r>
      <w:r>
        <w:rPr>
          <w:rFonts w:ascii="Times New Roman" w:cs="Times New Roman" w:eastAsia="Times New Roman" w:hAnsi="Times New Roman"/>
          <w:sz w:val="22"/>
          <w:szCs w:val="22"/>
        </w:rPr>
        <w:t xml:space="preserve">— формализация семантики P3109 на Lean 4, обеспечивающая доказательно проверенное покрытие ключевых операций.</w:t>
      </w:r>
    </w:p>
    <w:p>
      <w:pPr>
        <w:spacing w:after="120" w:line="360"/>
        <w:ind w:firstLine="283"/>
        <w:jc w:val="both"/>
      </w:pPr>
      <w:r>
        <w:rPr>
          <w:rFonts w:ascii="Times New Roman" w:cs="Times New Roman" w:eastAsia="Times New Roman" w:hAnsi="Times New Roman"/>
          <w:b/>
          <w:bCs/>
          <w:sz w:val="22"/>
          <w:szCs w:val="22"/>
        </w:rPr>
        <w:t xml:space="preserve">Pychop </w:t>
      </w:r>
      <w:r>
        <w:rPr>
          <w:rFonts w:ascii="Times New Roman" w:cs="Times New Roman" w:eastAsia="Times New Roman" w:hAnsi="Times New Roman"/>
          <w:sz w:val="22"/>
          <w:szCs w:val="22"/>
        </w:rPr>
        <w:t xml:space="preserve">(Carson &amp; Chen, 2025) эмулирует широкое семейство низкоточных арифметик в Python, включая варианты FP8, posit и настраиваемые кортежи (E, M, смещение порядка). Она ориентирована на задачи ML и научных вычислений и дополняет настоящий каталог: Pychop эмулирует поведение на уровне операций, тогда как пакеты в этой статье фиксируют битовые паттерны на уровне представления.</w:t>
      </w:r>
    </w:p>
    <w:p>
      <w:pPr>
        <w:spacing w:after="120" w:line="360"/>
        <w:ind w:firstLine="283"/>
        <w:jc w:val="both"/>
      </w:pPr>
      <w:r>
        <w:rPr>
          <w:rFonts w:ascii="Times New Roman" w:cs="Times New Roman" w:eastAsia="Times New Roman" w:hAnsi="Times New Roman"/>
          <w:b/>
          <w:bCs/>
          <w:sz w:val="22"/>
          <w:szCs w:val="22"/>
        </w:rPr>
        <w:t xml:space="preserve">libtakum </w:t>
      </w:r>
      <w:r>
        <w:rPr>
          <w:rFonts w:ascii="Times New Roman" w:cs="Times New Roman" w:eastAsia="Times New Roman" w:hAnsi="Times New Roman"/>
          <w:sz w:val="22"/>
          <w:szCs w:val="22"/>
        </w:rPr>
        <w:t xml:space="preserve">— эталонная C-библиотека для семейства арифметики takum (Хунхольд), обеспечивающая пригодную базу для кросс-реализации кластера Posit/Unum III каталога относительно независимого оракула.</w:t>
      </w:r>
    </w:p>
    <w:p>
      <w:pPr>
        <w:spacing w:after="120" w:line="360"/>
        <w:ind w:firstLine="283"/>
        <w:jc w:val="both"/>
      </w:pPr>
      <w:r>
        <w:rPr>
          <w:rFonts w:ascii="Times New Roman" w:cs="Times New Roman" w:eastAsia="Times New Roman" w:hAnsi="Times New Roman"/>
          <w:b/>
          <w:bCs/>
          <w:sz w:val="22"/>
          <w:szCs w:val="22"/>
        </w:rPr>
        <w:t xml:space="preserve">torch.float8 </w:t>
      </w:r>
      <w:r>
        <w:rPr>
          <w:rFonts w:ascii="Times New Roman" w:cs="Times New Roman" w:eastAsia="Times New Roman" w:hAnsi="Times New Roman"/>
          <w:sz w:val="22"/>
          <w:szCs w:val="22"/>
        </w:rPr>
        <w:t xml:space="preserve">(PyTorch) и </w:t>
      </w:r>
      <w:r>
        <w:rPr>
          <w:rFonts w:ascii="Times New Roman" w:cs="Times New Roman" w:eastAsia="Times New Roman" w:hAnsi="Times New Roman"/>
          <w:b/>
          <w:bCs/>
          <w:sz w:val="22"/>
          <w:szCs w:val="22"/>
        </w:rPr>
        <w:t xml:space="preserve">jax.dtypes </w:t>
      </w:r>
      <w:r>
        <w:rPr>
          <w:rFonts w:ascii="Times New Roman" w:cs="Times New Roman" w:eastAsia="Times New Roman" w:hAnsi="Times New Roman"/>
          <w:sz w:val="22"/>
          <w:szCs w:val="22"/>
        </w:rPr>
        <w:t xml:space="preserve">предоставляют типы FP8 на уровне фреймворка, но не публикуют наборы тестов с битовыми векторами, независимые от аппаратного исполнения.</w:t>
      </w:r>
    </w:p>
    <w:p>
      <w:pPr>
        <w:spacing w:after="120" w:line="360"/>
        <w:ind w:firstLine="283"/>
        <w:jc w:val="both"/>
      </w:pPr>
      <w:r>
        <w:rPr>
          <w:rFonts w:ascii="Times New Roman" w:cs="Times New Roman" w:eastAsia="Times New Roman" w:hAnsi="Times New Roman"/>
          <w:b/>
          <w:bCs/>
          <w:sz w:val="22"/>
          <w:szCs w:val="22"/>
        </w:rPr>
        <w:t xml:space="preserve">Исследования по оценке MX </w:t>
      </w:r>
      <w:r>
        <w:rPr>
          <w:rFonts w:ascii="Times New Roman" w:cs="Times New Roman" w:eastAsia="Times New Roman" w:hAnsi="Times New Roman"/>
          <w:sz w:val="22"/>
          <w:szCs w:val="22"/>
        </w:rPr>
        <w:t xml:space="preserve">измеряют влияние микромасштабируемого квантования на точность в трансформерных задачах.</w:t>
      </w:r>
    </w:p>
    <w:p>
      <w:pPr>
        <w:pStyle w:val="Heading2"/>
        <w:spacing w:after="110" w:before="220"/>
      </w:pPr>
      <w:r>
        <w:rPr>
          <w:rFonts w:ascii="Times New Roman" w:cs="Times New Roman" w:eastAsia="Times New Roman" w:hAnsi="Times New Roman"/>
          <w:b/>
          <w:bCs/>
          <w:color w:val="000000"/>
          <w:sz w:val="26"/>
          <w:szCs w:val="26"/>
        </w:rPr>
        <w:t xml:space="preserve">2.3. Разрыв</w:t>
      </w:r>
    </w:p>
    <w:p>
      <w:pPr>
        <w:spacing w:after="120" w:line="360"/>
        <w:ind w:firstLine="283"/>
        <w:jc w:val="both"/>
      </w:pPr>
      <w:r>
        <w:rPr>
          <w:rFonts w:ascii="Times New Roman" w:cs="Times New Roman" w:eastAsia="Times New Roman" w:hAnsi="Times New Roman"/>
          <w:sz w:val="22"/>
          <w:szCs w:val="22"/>
        </w:rPr>
        <w:t xml:space="preserve">Ни один отдельный вендор-нейтральный артефакт в настоящее время не охватывает FP8 E4M3, FP8 E5M2, BF16, элемент MXFP4, элемент NVFP4, GoldenFloat 16 и блочный масштаб E8M0 в единой схеме, обладая при этом: (а) битоточными векторами кодирования/декодирования; (б) происхождением, привязанным к SHA-256; (в) явной документацией каждого расхождения с эталонной реализацией; и (г) удобочитаемым кросс-уолком к IEEE P3109. Настоящая работа заполняет этот пробел реестра на уровне всего каталога: набор пакетов соответствия покрывает все 83 формата (75 битоточных + 0 самосогласованных + 8 структурных), а шесть наиболее немедленно развёртываемых форматов уровня представления выделены как углублённо проверенное подмножество Tier-1 (раздел 5); NVFP4 обсуждается как ближайший кандидат на включение в Tier-1 (раздел 9) и как второй интерпретационный разрыв (раздел 7).</w:t>
      </w:r>
    </w:p>
    <w:p>
      <w:pPr>
        <w:pStyle w:val="Heading1"/>
        <w:spacing w:after="140" w:before="280"/>
      </w:pPr>
      <w:r>
        <w:rPr>
          <w:rFonts w:ascii="Times New Roman" w:cs="Times New Roman" w:eastAsia="Times New Roman" w:hAnsi="Times New Roman"/>
          <w:b/>
          <w:bCs/>
          <w:color w:val="000000"/>
          <w:sz w:val="30"/>
          <w:szCs w:val="30"/>
        </w:rPr>
        <w:t xml:space="preserve">3. Устройство каталога</w:t>
      </w:r>
    </w:p>
    <w:p>
      <w:pPr>
        <w:pStyle w:val="Heading2"/>
        <w:spacing w:after="110" w:before="220"/>
      </w:pPr>
      <w:r>
        <w:rPr>
          <w:rFonts w:ascii="Times New Roman" w:cs="Times New Roman" w:eastAsia="Times New Roman" w:hAnsi="Times New Roman"/>
          <w:b/>
          <w:bCs/>
          <w:color w:val="000000"/>
          <w:sz w:val="26"/>
          <w:szCs w:val="26"/>
        </w:rPr>
        <w:t xml:space="preserve">3.1. 83 формата в 13 кластерах</w:t>
      </w:r>
    </w:p>
    <w:p>
      <w:pPr>
        <w:spacing w:after="120" w:line="360"/>
        <w:ind w:firstLine="283"/>
        <w:jc w:val="both"/>
      </w:pPr>
      <w:r>
        <w:rPr>
          <w:rFonts w:ascii="Times New Roman" w:cs="Times New Roman" w:eastAsia="Times New Roman" w:hAnsi="Times New Roman"/>
          <w:sz w:val="22"/>
          <w:szCs w:val="22"/>
        </w:rPr>
        <w:t xml:space="preserve">Каталог </w:t>
      </w:r>
      <w:r>
        <w:rPr>
          <w:rFonts w:ascii="Consolas" w:cs="Consolas" w:eastAsia="Consolas" w:hAnsi="Consolas"/>
          <w:sz w:val="22"/>
          <w:szCs w:val="22"/>
        </w:rPr>
        <w:t xml:space="preserve">t27</w:t>
      </w:r>
      <w:r>
        <w:rPr>
          <w:rFonts w:ascii="Times New Roman" w:cs="Times New Roman" w:eastAsia="Times New Roman" w:hAnsi="Times New Roman"/>
          <w:sz w:val="22"/>
          <w:szCs w:val="22"/>
        </w:rPr>
        <w:t xml:space="preserve"> содержит 83 формата, организованных в 13 именованных кластеров. Таблица 1 показывает названия кластеров и количество форматов. Сумма количеств равна ровно 83; это непрерывно контролируемый инвариант каталога (CI-01, раздел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20"/>
                <w:szCs w:val="20"/>
              </w:rPr>
              <w:t xml:space="preserve">Кластер</w:t>
            </w:r>
          </w:p>
        </w:tc>
        <w:tc>
          <w:tcPr>
            <w:tcW w:type="dxa" w:w="476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20"/>
                <w:szCs w:val="20"/>
              </w:rPr>
              <w:t xml:space="preserve">Представительные форматы</w:t>
            </w:r>
          </w:p>
        </w:tc>
        <w:tc>
          <w:tcPr>
            <w:tcW w:type="dxa" w:w="16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20"/>
                <w:szCs w:val="20"/>
              </w:rPr>
              <w:t xml:space="preserve">Кол-во</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IEEE754 binary</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binary16, binary32, binary64, binary128, binary256</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5</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IEEE754 decimal</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decimal32, decimal64, decimal128</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3</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Extended</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x87 FP80, double-double, quad-double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3</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ML low-precision</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BF16, TF32, FP8 E4M3, FP8 E5M2, FP6 E3M2/E2M3, FP4 E2M1</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7</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Microscaling (MX)</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MXFP8, MXFP6, MXFP4</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3</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Posit / Unum III</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Posit8/16/32/64, takum8/16/32/64</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8</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LNS</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LNS-8, LNS-16, LNS-32, LNS-64</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4</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GoldenFloat</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GFTernary, GF4 … GF1024 (с привязкой к φ), MXGF6/MXGF4</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22</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IntegerFixed</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INT4/8/16/32/64/128, Q-format, BCD</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8</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QuantTuned</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NF4 (NormalFloat), AFP (Adaptive FP)</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2</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Compression/scaling</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block FP (BFP), shared-exponent, INT8 per-channel, stochastic rounding</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4</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HistoricalVendor</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IBM HFP, Microsoft MBF, VAX F/D/G/H-float, Cray float</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10</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Theoretical</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minifloat, Unum I, Unum II (SORN), tapered FP</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4</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bCs/>
                <w:sz w:val="20"/>
                <w:szCs w:val="20"/>
              </w:rPr>
              <w:t xml:space="preserve">Итого</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bCs/>
                <w:sz w:val="20"/>
                <w:szCs w:val="20"/>
              </w:rPr>
              <w:t xml:space="preserve">83</w:t>
            </w:r>
          </w:p>
        </w:tc>
      </w:tr>
    </w:tbl>
    <w:p>
      <w:pPr>
        <w:spacing w:after="160" w:before="60"/>
        <w:jc w:val="center"/>
      </w:pPr>
      <w:r>
        <w:rPr>
          <w:rFonts w:ascii="Times New Roman" w:cs="Times New Roman" w:eastAsia="Times New Roman" w:hAnsi="Times New Roman"/>
          <w:i/>
          <w:iCs/>
          <w:sz w:val="20"/>
          <w:szCs w:val="20"/>
        </w:rPr>
        <w:t xml:space="preserve">Таблица 1. 83 формата в 13 кластерах (T1).</w:t>
      </w:r>
    </w:p>
    <w:p>
      <w:pPr>
        <w:pStyle w:val="Heading2"/>
        <w:spacing w:after="110" w:before="220"/>
      </w:pPr>
      <w:r>
        <w:rPr>
          <w:rFonts w:ascii="Times New Roman" w:cs="Times New Roman" w:eastAsia="Times New Roman" w:hAnsi="Times New Roman"/>
          <w:b/>
          <w:bCs/>
          <w:color w:val="000000"/>
          <w:sz w:val="26"/>
          <w:szCs w:val="26"/>
        </w:rPr>
        <w:t xml:space="preserve">3.2. Схема «одна строка на формат»</w:t>
      </w:r>
    </w:p>
    <w:p>
      <w:pPr>
        <w:spacing w:after="120" w:line="360"/>
        <w:ind w:firstLine="283"/>
        <w:jc w:val="both"/>
      </w:pPr>
      <w:r>
        <w:rPr>
          <w:rFonts w:ascii="Times New Roman" w:cs="Times New Roman" w:eastAsia="Times New Roman" w:hAnsi="Times New Roman"/>
          <w:sz w:val="22"/>
          <w:szCs w:val="22"/>
        </w:rPr>
        <w:t xml:space="preserve">Каждая запись каталога несёт следующие поля:</w:t>
      </w:r>
    </w:p>
    <w:p>
      <w:pPr>
        <w:pStyle w:val="ListParagraph"/>
        <w:numPr>
          <w:ilvl w:val="0"/>
          <w:numId w:val="2"/>
        </w:numPr>
        <w:spacing w:after="80" w:line="276"/>
        <w:jc w:val="both"/>
      </w:pPr>
      <w:r>
        <w:rPr>
          <w:rFonts w:ascii="Consolas" w:cs="Consolas" w:eastAsia="Consolas" w:hAnsi="Consolas"/>
          <w:sz w:val="22"/>
          <w:szCs w:val="22"/>
        </w:rPr>
        <w:t xml:space="preserve">name</w:t>
      </w:r>
      <w:r>
        <w:rPr>
          <w:rFonts w:ascii="Times New Roman" w:cs="Times New Roman" w:eastAsia="Times New Roman" w:hAnsi="Times New Roman"/>
          <w:sz w:val="22"/>
          <w:szCs w:val="22"/>
        </w:rPr>
        <w:t xml:space="preserve"> — канонический идентификатор (ASCII, без пробелов)</w:t>
      </w:r>
    </w:p>
    <w:p>
      <w:pPr>
        <w:pStyle w:val="ListParagraph"/>
        <w:numPr>
          <w:ilvl w:val="0"/>
          <w:numId w:val="2"/>
        </w:numPr>
        <w:spacing w:after="80" w:line="276"/>
        <w:jc w:val="both"/>
      </w:pPr>
      <w:r>
        <w:rPr>
          <w:rFonts w:ascii="Consolas" w:cs="Consolas" w:eastAsia="Consolas" w:hAnsi="Consolas"/>
          <w:sz w:val="22"/>
          <w:szCs w:val="22"/>
        </w:rPr>
        <w:t xml:space="preserve">bits</w:t>
      </w:r>
      <w:r>
        <w:rPr>
          <w:rFonts w:ascii="Times New Roman" w:cs="Times New Roman" w:eastAsia="Times New Roman" w:hAnsi="Times New Roman"/>
          <w:sz w:val="22"/>
          <w:szCs w:val="22"/>
        </w:rPr>
        <w:t xml:space="preserve"> — общая разрядность</w:t>
      </w:r>
    </w:p>
    <w:p>
      <w:pPr>
        <w:pStyle w:val="ListParagraph"/>
        <w:numPr>
          <w:ilvl w:val="0"/>
          <w:numId w:val="2"/>
        </w:numPr>
        <w:spacing w:after="80" w:line="276"/>
        <w:jc w:val="both"/>
      </w:pPr>
      <w:r>
        <w:rPr>
          <w:rFonts w:ascii="Consolas" w:cs="Consolas" w:eastAsia="Consolas" w:hAnsi="Consolas"/>
          <w:sz w:val="22"/>
          <w:szCs w:val="22"/>
        </w:rPr>
        <w:t xml:space="preserve">exp</w:t>
      </w:r>
      <w:r>
        <w:rPr>
          <w:rFonts w:ascii="Times New Roman" w:cs="Times New Roman" w:eastAsia="Times New Roman" w:hAnsi="Times New Roman"/>
          <w:sz w:val="22"/>
          <w:szCs w:val="22"/>
        </w:rPr>
        <w:t xml:space="preserve"> — ширина поля порядка в битах</w:t>
      </w:r>
    </w:p>
    <w:p>
      <w:pPr>
        <w:pStyle w:val="ListParagraph"/>
        <w:numPr>
          <w:ilvl w:val="0"/>
          <w:numId w:val="2"/>
        </w:numPr>
        <w:spacing w:after="80" w:line="276"/>
        <w:jc w:val="both"/>
      </w:pPr>
      <w:r>
        <w:rPr>
          <w:rFonts w:ascii="Consolas" w:cs="Consolas" w:eastAsia="Consolas" w:hAnsi="Consolas"/>
          <w:sz w:val="22"/>
          <w:szCs w:val="22"/>
        </w:rPr>
        <w:t xml:space="preserve">mant</w:t>
      </w:r>
      <w:r>
        <w:rPr>
          <w:rFonts w:ascii="Times New Roman" w:cs="Times New Roman" w:eastAsia="Times New Roman" w:hAnsi="Times New Roman"/>
          <w:sz w:val="22"/>
          <w:szCs w:val="22"/>
        </w:rPr>
        <w:t xml:space="preserve"> — ширина поля мантиссы в битах (0 для форматов в стиле E8M0)</w:t>
      </w:r>
    </w:p>
    <w:p>
      <w:pPr>
        <w:pStyle w:val="ListParagraph"/>
        <w:numPr>
          <w:ilvl w:val="0"/>
          <w:numId w:val="2"/>
        </w:numPr>
        <w:spacing w:after="80" w:line="276"/>
        <w:jc w:val="both"/>
      </w:pPr>
      <w:r>
        <w:rPr>
          <w:rFonts w:ascii="Consolas" w:cs="Consolas" w:eastAsia="Consolas" w:hAnsi="Consolas"/>
          <w:sz w:val="22"/>
          <w:szCs w:val="22"/>
        </w:rPr>
        <w:t xml:space="preserve">bias</w:t>
      </w:r>
      <w:r>
        <w:rPr>
          <w:rFonts w:ascii="Times New Roman" w:cs="Times New Roman" w:eastAsia="Times New Roman" w:hAnsi="Times New Roman"/>
          <w:sz w:val="22"/>
          <w:szCs w:val="22"/>
        </w:rPr>
        <w:t xml:space="preserve"> — смещение порядка</w:t>
      </w:r>
    </w:p>
    <w:p>
      <w:pPr>
        <w:pStyle w:val="ListParagraph"/>
        <w:numPr>
          <w:ilvl w:val="0"/>
          <w:numId w:val="2"/>
        </w:numPr>
        <w:spacing w:after="80" w:line="276"/>
        <w:jc w:val="both"/>
      </w:pPr>
      <w:r>
        <w:rPr>
          <w:rFonts w:ascii="Consolas" w:cs="Consolas" w:eastAsia="Consolas" w:hAnsi="Consolas"/>
          <w:sz w:val="22"/>
          <w:szCs w:val="22"/>
        </w:rPr>
        <w:t xml:space="preserve">has_inf</w:t>
      </w:r>
      <w:r>
        <w:rPr>
          <w:rFonts w:ascii="Times New Roman" w:cs="Times New Roman" w:eastAsia="Times New Roman" w:hAnsi="Times New Roman"/>
          <w:sz w:val="22"/>
          <w:szCs w:val="22"/>
        </w:rPr>
        <w:t xml:space="preserve"> — булево значение</w:t>
      </w:r>
    </w:p>
    <w:p>
      <w:pPr>
        <w:pStyle w:val="ListParagraph"/>
        <w:numPr>
          <w:ilvl w:val="0"/>
          <w:numId w:val="2"/>
        </w:numPr>
        <w:spacing w:after="80" w:line="276"/>
        <w:jc w:val="both"/>
      </w:pPr>
      <w:r>
        <w:rPr>
          <w:rFonts w:ascii="Consolas" w:cs="Consolas" w:eastAsia="Consolas" w:hAnsi="Consolas"/>
          <w:sz w:val="22"/>
          <w:szCs w:val="22"/>
        </w:rPr>
        <w:t xml:space="preserve">has_nan</w:t>
      </w:r>
      <w:r>
        <w:rPr>
          <w:rFonts w:ascii="Times New Roman" w:cs="Times New Roman" w:eastAsia="Times New Roman" w:hAnsi="Times New Roman"/>
          <w:sz w:val="22"/>
          <w:szCs w:val="22"/>
        </w:rPr>
        <w:t xml:space="preserve"> — булево значение</w:t>
      </w:r>
    </w:p>
    <w:p>
      <w:pPr>
        <w:pStyle w:val="ListParagraph"/>
        <w:numPr>
          <w:ilvl w:val="0"/>
          <w:numId w:val="2"/>
        </w:numPr>
        <w:spacing w:after="80" w:line="276"/>
        <w:jc w:val="both"/>
      </w:pPr>
      <w:r>
        <w:rPr>
          <w:rFonts w:ascii="Consolas" w:cs="Consolas" w:eastAsia="Consolas" w:hAnsi="Consolas"/>
          <w:sz w:val="22"/>
          <w:szCs w:val="22"/>
        </w:rPr>
        <w:t xml:space="preserve">saturation_policy</w:t>
      </w:r>
      <w:r>
        <w:rPr>
          <w:rFonts w:ascii="Times New Roman" w:cs="Times New Roman" w:eastAsia="Times New Roman" w:hAnsi="Times New Roman"/>
          <w:sz w:val="22"/>
          <w:szCs w:val="22"/>
        </w:rPr>
        <w:t xml:space="preserve"> — </w:t>
      </w:r>
      <w:r>
        <w:rPr>
          <w:rFonts w:ascii="Consolas" w:cs="Consolas" w:eastAsia="Consolas" w:hAnsi="Consolas"/>
          <w:sz w:val="22"/>
          <w:szCs w:val="22"/>
        </w:rPr>
        <w:t xml:space="preserve">SatFinite</w:t>
      </w:r>
      <w:r>
        <w:rPr>
          <w:rFonts w:ascii="Times New Roman" w:cs="Times New Roman" w:eastAsia="Times New Roman" w:hAnsi="Times New Roman"/>
          <w:sz w:val="22"/>
          <w:szCs w:val="22"/>
        </w:rPr>
        <w:t xml:space="preserve">, </w:t>
      </w:r>
      <w:r>
        <w:rPr>
          <w:rFonts w:ascii="Consolas" w:cs="Consolas" w:eastAsia="Consolas" w:hAnsi="Consolas"/>
          <w:sz w:val="22"/>
          <w:szCs w:val="22"/>
        </w:rPr>
        <w:t xml:space="preserve">OvfInf</w:t>
      </w:r>
      <w:r>
        <w:rPr>
          <w:rFonts w:ascii="Times New Roman" w:cs="Times New Roman" w:eastAsia="Times New Roman" w:hAnsi="Times New Roman"/>
          <w:sz w:val="22"/>
          <w:szCs w:val="22"/>
        </w:rPr>
        <w:t xml:space="preserve"> или </w:t>
      </w:r>
      <w:r>
        <w:rPr>
          <w:rFonts w:ascii="Consolas" w:cs="Consolas" w:eastAsia="Consolas" w:hAnsi="Consolas"/>
          <w:sz w:val="22"/>
          <w:szCs w:val="22"/>
        </w:rPr>
        <w:t xml:space="preserve">OvfNaN</w:t>
      </w:r>
      <w:r>
        <w:rPr>
          <w:rFonts w:ascii="Times New Roman" w:cs="Times New Roman" w:eastAsia="Times New Roman" w:hAnsi="Times New Roman"/>
          <w:sz w:val="22"/>
          <w:szCs w:val="22"/>
        </w:rPr>
        <w:t xml:space="preserve"/>
      </w:r>
    </w:p>
    <w:p>
      <w:pPr>
        <w:pStyle w:val="ListParagraph"/>
        <w:numPr>
          <w:ilvl w:val="0"/>
          <w:numId w:val="2"/>
        </w:numPr>
        <w:spacing w:after="80" w:line="276"/>
        <w:jc w:val="both"/>
      </w:pPr>
      <w:r>
        <w:rPr>
          <w:rFonts w:ascii="Consolas" w:cs="Consolas" w:eastAsia="Consolas" w:hAnsi="Consolas"/>
          <w:sz w:val="22"/>
          <w:szCs w:val="22"/>
        </w:rPr>
        <w:t xml:space="preserve">max_finite</w:t>
      </w:r>
      <w:r>
        <w:rPr>
          <w:rFonts w:ascii="Times New Roman" w:cs="Times New Roman" w:eastAsia="Times New Roman" w:hAnsi="Times New Roman"/>
          <w:sz w:val="22"/>
          <w:szCs w:val="22"/>
        </w:rPr>
        <w:t xml:space="preserve"> — наибольшее представимое конечное значение (f64)</w:t>
      </w:r>
    </w:p>
    <w:p>
      <w:pPr>
        <w:pStyle w:val="ListParagraph"/>
        <w:numPr>
          <w:ilvl w:val="0"/>
          <w:numId w:val="2"/>
        </w:numPr>
        <w:spacing w:after="80" w:line="276"/>
        <w:jc w:val="both"/>
      </w:pPr>
      <w:r>
        <w:rPr>
          <w:rFonts w:ascii="Consolas" w:cs="Consolas" w:eastAsia="Consolas" w:hAnsi="Consolas"/>
          <w:sz w:val="22"/>
          <w:szCs w:val="22"/>
        </w:rPr>
        <w:t xml:space="preserve">min_normal</w:t>
      </w:r>
      <w:r>
        <w:rPr>
          <w:rFonts w:ascii="Times New Roman" w:cs="Times New Roman" w:eastAsia="Times New Roman" w:hAnsi="Times New Roman"/>
          <w:sz w:val="22"/>
          <w:szCs w:val="22"/>
        </w:rPr>
        <w:t xml:space="preserve"> — наименьшее положительное нормальное значение (f64)</w:t>
      </w:r>
    </w:p>
    <w:p>
      <w:pPr>
        <w:pStyle w:val="ListParagraph"/>
        <w:numPr>
          <w:ilvl w:val="0"/>
          <w:numId w:val="2"/>
        </w:numPr>
        <w:spacing w:after="80" w:line="276"/>
        <w:jc w:val="both"/>
      </w:pPr>
      <w:r>
        <w:rPr>
          <w:rFonts w:ascii="Consolas" w:cs="Consolas" w:eastAsia="Consolas" w:hAnsi="Consolas"/>
          <w:sz w:val="22"/>
          <w:szCs w:val="22"/>
        </w:rPr>
        <w:t xml:space="preserve">min_subnormal</w:t>
      </w:r>
      <w:r>
        <w:rPr>
          <w:rFonts w:ascii="Times New Roman" w:cs="Times New Roman" w:eastAsia="Times New Roman" w:hAnsi="Times New Roman"/>
          <w:sz w:val="22"/>
          <w:szCs w:val="22"/>
        </w:rPr>
        <w:t xml:space="preserve"> — наименьшее положительное субнормальное число (f64; </w:t>
      </w:r>
      <w:r>
        <w:rPr>
          <w:rFonts w:ascii="Consolas" w:cs="Consolas" w:eastAsia="Consolas" w:hAnsi="Consolas"/>
          <w:sz w:val="22"/>
          <w:szCs w:val="22"/>
        </w:rPr>
        <w:t xml:space="preserve">null</w:t>
      </w:r>
      <w:r>
        <w:rPr>
          <w:rFonts w:ascii="Times New Roman" w:cs="Times New Roman" w:eastAsia="Times New Roman" w:hAnsi="Times New Roman"/>
          <w:sz w:val="22"/>
          <w:szCs w:val="22"/>
        </w:rPr>
        <w:t xml:space="preserve">, если отсутствует)</w:t>
      </w:r>
    </w:p>
    <w:p>
      <w:pPr>
        <w:pStyle w:val="ListParagraph"/>
        <w:numPr>
          <w:ilvl w:val="0"/>
          <w:numId w:val="2"/>
        </w:numPr>
        <w:spacing w:after="80" w:line="276"/>
        <w:jc w:val="both"/>
      </w:pPr>
      <w:r>
        <w:rPr>
          <w:rFonts w:ascii="Consolas" w:cs="Consolas" w:eastAsia="Consolas" w:hAnsi="Consolas"/>
          <w:sz w:val="22"/>
          <w:szCs w:val="22"/>
        </w:rPr>
        <w:t xml:space="preserve">cluster</w:t>
      </w:r>
      <w:r>
        <w:rPr>
          <w:rFonts w:ascii="Times New Roman" w:cs="Times New Roman" w:eastAsia="Times New Roman" w:hAnsi="Times New Roman"/>
          <w:sz w:val="22"/>
          <w:szCs w:val="22"/>
        </w:rPr>
        <w:t xml:space="preserve"> — одна из 13 меток кластеров</w:t>
      </w:r>
    </w:p>
    <w:p>
      <w:pPr>
        <w:pStyle w:val="ListParagraph"/>
        <w:numPr>
          <w:ilvl w:val="0"/>
          <w:numId w:val="2"/>
        </w:numPr>
        <w:spacing w:after="80" w:line="276"/>
        <w:jc w:val="both"/>
      </w:pPr>
      <w:r>
        <w:rPr>
          <w:rFonts w:ascii="Consolas" w:cs="Consolas" w:eastAsia="Consolas" w:hAnsi="Consolas"/>
          <w:sz w:val="22"/>
          <w:szCs w:val="22"/>
        </w:rPr>
        <w:t xml:space="preserve">claim_status</w:t>
      </w:r>
      <w:r>
        <w:rPr>
          <w:rFonts w:ascii="Times New Roman" w:cs="Times New Roman" w:eastAsia="Times New Roman" w:hAnsi="Times New Roman"/>
          <w:sz w:val="22"/>
          <w:szCs w:val="22"/>
        </w:rPr>
        <w:t xml:space="preserve"> — Verified / Empirical_fit / Open_conjecture / Risk / Retracted</w:t>
      </w:r>
    </w:p>
    <w:p>
      <w:pPr>
        <w:pStyle w:val="Heading2"/>
        <w:spacing w:after="110" w:before="220"/>
      </w:pPr>
      <w:r>
        <w:rPr>
          <w:rFonts w:ascii="Times New Roman" w:cs="Times New Roman" w:eastAsia="Times New Roman" w:hAnsi="Times New Roman"/>
          <w:b/>
          <w:bCs/>
          <w:color w:val="000000"/>
          <w:sz w:val="26"/>
          <w:szCs w:val="26"/>
        </w:rPr>
        <w:t xml:space="preserve">3.3. Таксономия статусов утверждений</w:t>
      </w:r>
    </w:p>
    <w:p>
      <w:pPr>
        <w:spacing w:after="120" w:line="360"/>
        <w:ind w:firstLine="283"/>
        <w:jc w:val="both"/>
      </w:pPr>
      <w:r>
        <w:rPr>
          <w:rFonts w:ascii="Times New Roman" w:cs="Times New Roman" w:eastAsia="Times New Roman" w:hAnsi="Times New Roman"/>
          <w:b/>
          <w:bCs/>
          <w:sz w:val="22"/>
          <w:szCs w:val="22"/>
        </w:rPr>
        <w:t xml:space="preserve">Verified: </w:t>
      </w:r>
      <w:r>
        <w:rPr>
          <w:rFonts w:ascii="Times New Roman" w:cs="Times New Roman" w:eastAsia="Times New Roman" w:hAnsi="Times New Roman"/>
          <w:sz w:val="22"/>
          <w:szCs w:val="22"/>
        </w:rPr>
        <w:t xml:space="preserve">спецификация формата подкреплена опубликованным стандартом (IEEE, OCP) или доказательно проверенным эталоном (P3109 FLoPS Lean).</w:t>
      </w:r>
    </w:p>
    <w:p>
      <w:pPr>
        <w:spacing w:after="120" w:line="360"/>
        <w:ind w:firstLine="283"/>
        <w:jc w:val="both"/>
      </w:pPr>
      <w:r>
        <w:rPr>
          <w:rFonts w:ascii="Times New Roman" w:cs="Times New Roman" w:eastAsia="Times New Roman" w:hAnsi="Times New Roman"/>
          <w:b/>
          <w:bCs/>
          <w:sz w:val="22"/>
          <w:szCs w:val="22"/>
        </w:rPr>
        <w:t xml:space="preserve">Empirical_fit: </w:t>
      </w:r>
      <w:r>
        <w:rPr>
          <w:rFonts w:ascii="Times New Roman" w:cs="Times New Roman" w:eastAsia="Times New Roman" w:hAnsi="Times New Roman"/>
          <w:sz w:val="22"/>
          <w:szCs w:val="22"/>
        </w:rPr>
        <w:t xml:space="preserve">выведена путём подгонки наблюдаемой битовой раскладки аппаратного продукта без независимо опубликованной спецификации.</w:t>
      </w:r>
    </w:p>
    <w:p>
      <w:pPr>
        <w:spacing w:after="120" w:line="360"/>
        <w:ind w:firstLine="283"/>
        <w:jc w:val="both"/>
      </w:pPr>
      <w:r>
        <w:rPr>
          <w:rFonts w:ascii="Times New Roman" w:cs="Times New Roman" w:eastAsia="Times New Roman" w:hAnsi="Times New Roman"/>
          <w:b/>
          <w:bCs/>
          <w:sz w:val="22"/>
          <w:szCs w:val="22"/>
        </w:rPr>
        <w:t xml:space="preserve">Open_conjecture: </w:t>
      </w:r>
      <w:r>
        <w:rPr>
          <w:rFonts w:ascii="Times New Roman" w:cs="Times New Roman" w:eastAsia="Times New Roman" w:hAnsi="Times New Roman"/>
          <w:sz w:val="22"/>
          <w:szCs w:val="22"/>
        </w:rPr>
        <w:t xml:space="preserve">предложенное обобщение, ожидающее внешней проверки.</w:t>
      </w:r>
    </w:p>
    <w:p>
      <w:pPr>
        <w:spacing w:after="120" w:line="360"/>
        <w:ind w:firstLine="283"/>
        <w:jc w:val="both"/>
      </w:pPr>
      <w:r>
        <w:rPr>
          <w:rFonts w:ascii="Times New Roman" w:cs="Times New Roman" w:eastAsia="Times New Roman" w:hAnsi="Times New Roman"/>
          <w:b/>
          <w:bCs/>
          <w:sz w:val="22"/>
          <w:szCs w:val="22"/>
        </w:rPr>
        <w:t xml:space="preserve">Risk: </w:t>
      </w:r>
      <w:r>
        <w:rPr>
          <w:rFonts w:ascii="Times New Roman" w:cs="Times New Roman" w:eastAsia="Times New Roman" w:hAnsi="Times New Roman"/>
          <w:sz w:val="22"/>
          <w:szCs w:val="22"/>
        </w:rPr>
        <w:t xml:space="preserve">ссылка на спецификацию существует, но кодировка в каталоге может содержать ошибки, ещё не выявленные набором тестов.</w:t>
      </w:r>
    </w:p>
    <w:p>
      <w:pPr>
        <w:spacing w:after="120" w:line="360"/>
        <w:ind w:firstLine="283"/>
        <w:jc w:val="both"/>
      </w:pPr>
      <w:r>
        <w:rPr>
          <w:rFonts w:ascii="Times New Roman" w:cs="Times New Roman" w:eastAsia="Times New Roman" w:hAnsi="Times New Roman"/>
          <w:b/>
          <w:bCs/>
          <w:sz w:val="22"/>
          <w:szCs w:val="22"/>
        </w:rPr>
        <w:t xml:space="preserve">Retracted: </w:t>
      </w:r>
      <w:r>
        <w:rPr>
          <w:rFonts w:ascii="Times New Roman" w:cs="Times New Roman" w:eastAsia="Times New Roman" w:hAnsi="Times New Roman"/>
          <w:sz w:val="22"/>
          <w:szCs w:val="22"/>
        </w:rPr>
        <w:t xml:space="preserve">ранее была включена; удалена после выявления противоречащего авторитетного источника.</w:t>
      </w:r>
    </w:p>
    <w:p>
      <w:pPr>
        <w:pStyle w:val="Heading2"/>
        <w:spacing w:after="110" w:before="220"/>
      </w:pPr>
      <w:r>
        <w:rPr>
          <w:rFonts w:ascii="Times New Roman" w:cs="Times New Roman" w:eastAsia="Times New Roman" w:hAnsi="Times New Roman"/>
          <w:b/>
          <w:bCs/>
          <w:color w:val="000000"/>
          <w:sz w:val="26"/>
          <w:szCs w:val="26"/>
        </w:rPr>
        <w:t xml:space="preserve">3.4. Инварианты каталога</w:t>
      </w:r>
    </w:p>
    <w:p>
      <w:pPr>
        <w:spacing w:after="120" w:line="360"/>
        <w:ind w:firstLine="283"/>
        <w:jc w:val="both"/>
      </w:pPr>
      <w:r>
        <w:rPr>
          <w:rFonts w:ascii="Times New Roman" w:cs="Times New Roman" w:eastAsia="Times New Roman" w:hAnsi="Times New Roman"/>
          <w:sz w:val="22"/>
          <w:szCs w:val="22"/>
        </w:rPr>
        <w:t xml:space="preserve">Пятнадцать инвариантов проверяются при каждом коммите. Отдельные инварианты перечислены в таблице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760"/>
      </w:tblGrid>
      <w:tr>
        <w:trPr>
          <w:tblHeader/>
        </w:trPr>
        <w:tc>
          <w:tcPr>
            <w:tcW w:type="dxa" w:w="11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ID</w:t>
            </w:r>
          </w:p>
        </w:tc>
        <w:tc>
          <w:tcPr>
            <w:tcW w:type="dxa" w:w="35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Инвариант</w:t>
            </w:r>
          </w:p>
        </w:tc>
        <w:tc>
          <w:tcPr>
            <w:tcW w:type="dxa" w:w="476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Проверка</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CI-01</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Общее число форматов равно 83</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22"/>
                <w:szCs w:val="22"/>
              </w:rPr>
              <w:t xml:space="preserve">sum(cluster_counts) == 83</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CI-02</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Нет коллизий имён</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22"/>
                <w:szCs w:val="22"/>
              </w:rPr>
              <w:t xml:space="preserve">len(names) == len(set(names))</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CI-03</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Согласованность разрядности</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22"/>
                <w:szCs w:val="22"/>
              </w:rPr>
              <w:t xml:space="preserve">1 + exp + mant == bits</w:t>
            </w:r>
            <w:r>
              <w:rPr>
                <w:rFonts w:ascii="Times New Roman" w:cs="Times New Roman" w:eastAsia="Times New Roman" w:hAnsi="Times New Roman"/>
                <w:sz w:val="20"/>
                <w:szCs w:val="20"/>
              </w:rPr>
              <w:t xml:space="preserve"> для стандартной раскладки</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CI-04</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Диапазон смещения порядка</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22"/>
                <w:szCs w:val="22"/>
              </w:rPr>
              <w:t xml:space="preserve">bias &lt;= 2**(exp-1) - 1</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CI-05</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Наличие политики насыщения</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поле не равно null для каждой записи</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CI-06</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Положительное max-finite</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22"/>
                <w:szCs w:val="22"/>
              </w:rPr>
              <w:t xml:space="preserve">max_finite &gt; 0</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CI-07</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min-normal ≤ max-finite</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порядок сохранён</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CI-08</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Метка кластера из перечисления</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нет неперечисленных имён кластеров</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CI-09</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Статус утверждения из перечисления</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нет неперечисленных значений статуса</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Нет формата с 0 бит</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22"/>
                <w:szCs w:val="22"/>
              </w:rPr>
              <w:t xml:space="preserve">bits &gt;= 2</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CI-11</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Наличие якоря SHA-256</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заголовок каждого пакета несёт поле отпечатка</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CI-12</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Наличие якорного вектора</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20"/>
                <w:szCs w:val="20"/>
              </w:rPr>
              <w:t xml:space="preserve">каждый пакет содержит вектор </w:t>
            </w:r>
            <w:r>
              <w:rPr>
                <w:rFonts w:ascii="Consolas" w:cs="Consolas" w:eastAsia="Consolas" w:hAnsi="Consolas"/>
                <w:sz w:val="22"/>
                <w:szCs w:val="22"/>
              </w:rPr>
              <w:t xml:space="preserve">anchor_*</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CI-13</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Якорь декодируется в 3,0</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22"/>
                <w:szCs w:val="22"/>
              </w:rPr>
              <w:t xml:space="preserve">decode(anchor_bits) == 3.0</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CI-14</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Цели кодогенерации компилируются</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CI-матрица запускает тесты импорта Python + Rust</w:t>
            </w:r>
          </w:p>
        </w:tc>
      </w:tr>
      <w:t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CI-15</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Нет дублирующихся SHA-256</w:t>
            </w:r>
          </w:p>
        </w:tc>
        <w:tc>
          <w:tcPr>
            <w:tcW w:type="dxa" w:w="47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отпечатки пакетов глобально уникальны</w:t>
            </w:r>
          </w:p>
        </w:tc>
      </w:tr>
    </w:tbl>
    <w:p>
      <w:pPr>
        <w:spacing w:after="160" w:before="60"/>
        <w:jc w:val="center"/>
      </w:pPr>
      <w:r>
        <w:rPr>
          <w:rFonts w:ascii="Times New Roman" w:cs="Times New Roman" w:eastAsia="Times New Roman" w:hAnsi="Times New Roman"/>
          <w:i/>
          <w:iCs/>
          <w:sz w:val="20"/>
          <w:szCs w:val="20"/>
        </w:rPr>
        <w:t xml:space="preserve">Таблица 2. 15 инвариантов каталога (контролируемые CI) (T2).</w:t>
      </w:r>
    </w:p>
    <w:p>
      <w:pPr>
        <w:pStyle w:val="Heading2"/>
        <w:spacing w:after="110" w:before="220"/>
      </w:pPr>
      <w:r>
        <w:rPr>
          <w:rFonts w:ascii="Times New Roman" w:cs="Times New Roman" w:eastAsia="Times New Roman" w:hAnsi="Times New Roman"/>
          <w:b/>
          <w:bCs/>
          <w:color w:val="000000"/>
          <w:sz w:val="26"/>
          <w:szCs w:val="26"/>
        </w:rPr>
        <w:t xml:space="preserve">3.5. Путь кодогенерации</w:t>
      </w:r>
    </w:p>
    <w:p>
      <w:pPr>
        <w:spacing w:after="120" w:line="360"/>
        <w:ind w:firstLine="283"/>
        <w:jc w:val="both"/>
      </w:pPr>
      <w:r>
        <w:rPr>
          <w:rFonts w:ascii="Times New Roman" w:cs="Times New Roman" w:eastAsia="Times New Roman" w:hAnsi="Times New Roman"/>
          <w:sz w:val="22"/>
          <w:szCs w:val="22"/>
        </w:rPr>
        <w:t xml:space="preserve">Единый шаблонный инструмент на Jinja2 читает канонический JSON-каталог и порождает выходные файлы для каждого языка: Markdown (удобочитаемая таблица), JSON (экспорт для API), классы данных Python, структуры Rust с производными </w:t>
      </w:r>
      <w:r>
        <w:rPr>
          <w:rFonts w:ascii="Consolas" w:cs="Consolas" w:eastAsia="Consolas" w:hAnsi="Consolas"/>
          <w:sz w:val="22"/>
          <w:szCs w:val="22"/>
        </w:rPr>
        <w:t xml:space="preserve">serde</w:t>
      </w:r>
      <w:r>
        <w:rPr>
          <w:rFonts w:ascii="Times New Roman" w:cs="Times New Roman" w:eastAsia="Times New Roman" w:hAnsi="Times New Roman"/>
          <w:sz w:val="22"/>
          <w:szCs w:val="22"/>
        </w:rPr>
        <w:t xml:space="preserve">, заголовок C (константы </w:t>
      </w:r>
      <w:r>
        <w:rPr>
          <w:rFonts w:ascii="Consolas" w:cs="Consolas" w:eastAsia="Consolas" w:hAnsi="Consolas"/>
          <w:sz w:val="22"/>
          <w:szCs w:val="22"/>
        </w:rPr>
        <w:t xml:space="preserve">#define</w:t>
      </w:r>
      <w:r>
        <w:rPr>
          <w:rFonts w:ascii="Times New Roman" w:cs="Times New Roman" w:eastAsia="Times New Roman" w:hAnsi="Times New Roman"/>
          <w:sz w:val="22"/>
          <w:szCs w:val="22"/>
        </w:rPr>
        <w:t xml:space="preserve">) и литералы перечислений TypeScript. Все сгенерированные файлы фиксируются в репозитории </w:t>
      </w:r>
      <w:r>
        <w:rPr>
          <w:rFonts w:ascii="Consolas" w:cs="Consolas" w:eastAsia="Consolas" w:hAnsi="Consolas"/>
          <w:sz w:val="22"/>
          <w:szCs w:val="22"/>
        </w:rPr>
        <w:t xml:space="preserve">github.com/gHashTag/t27</w:t>
      </w:r>
      <w:r>
        <w:rPr>
          <w:rFonts w:ascii="Times New Roman" w:cs="Times New Roman" w:eastAsia="Times New Roman" w:hAnsi="Times New Roman"/>
          <w:sz w:val="22"/>
          <w:szCs w:val="22"/>
        </w:rPr>
        <w:t xml:space="preserve"> и пересобираются при каждом push посредством матрицы GitHub Actions.</w:t>
      </w:r>
    </w:p>
    <w:p>
      <w:pPr>
        <w:pStyle w:val="Heading1"/>
        <w:spacing w:after="140" w:before="280"/>
      </w:pPr>
      <w:r>
        <w:rPr>
          <w:rFonts w:ascii="Times New Roman" w:cs="Times New Roman" w:eastAsia="Times New Roman" w:hAnsi="Times New Roman"/>
          <w:b/>
          <w:bCs/>
          <w:color w:val="000000"/>
          <w:sz w:val="30"/>
          <w:szCs w:val="30"/>
        </w:rPr>
        <w:t xml:space="preserve">4. Методология пакетов соответствия</w:t>
      </w:r>
    </w:p>
    <w:p>
      <w:pPr>
        <w:pStyle w:val="Heading2"/>
        <w:spacing w:after="110" w:before="220"/>
      </w:pPr>
      <w:r>
        <w:rPr>
          <w:rFonts w:ascii="Times New Roman" w:cs="Times New Roman" w:eastAsia="Times New Roman" w:hAnsi="Times New Roman"/>
          <w:b/>
          <w:bCs/>
          <w:color w:val="000000"/>
          <w:sz w:val="26"/>
          <w:szCs w:val="26"/>
        </w:rPr>
        <w:t xml:space="preserve">4.1. Общая схема строк</w:t>
      </w:r>
    </w:p>
    <w:p>
      <w:pPr>
        <w:spacing w:after="120" w:line="360"/>
        <w:ind w:firstLine="283"/>
        <w:jc w:val="both"/>
      </w:pPr>
      <w:r>
        <w:rPr>
          <w:rFonts w:ascii="Times New Roman" w:cs="Times New Roman" w:eastAsia="Times New Roman" w:hAnsi="Times New Roman"/>
          <w:sz w:val="22"/>
          <w:szCs w:val="22"/>
        </w:rPr>
        <w:t xml:space="preserve">Каждый пакет соответствия представляет собой JSON-массив векторов, причём каждая строка соответствует схеме, показанной в таблице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Поле</w:t>
            </w:r>
          </w:p>
        </w:tc>
        <w:tc>
          <w:tcPr>
            <w:tcW w:type="dxa" w:w="13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Тип</w:t>
            </w:r>
          </w:p>
        </w:tc>
        <w:tc>
          <w:tcPr>
            <w:tcW w:type="dxa" w:w="566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Описание</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7"/>
                <w:szCs w:val="17"/>
              </w:rPr>
              <w:t xml:space="preserve">name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string</w:t>
            </w:r>
          </w:p>
        </w:tc>
        <w:tc>
          <w:tcPr>
            <w:tcW w:type="dxa" w:w="5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удобочитаемый идентификатор тест-случая</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7"/>
                <w:szCs w:val="17"/>
              </w:rPr>
              <w:t xml:space="preserve">input_f64</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number</w:t>
            </w:r>
          </w:p>
        </w:tc>
        <w:tc>
          <w:tcPr>
            <w:tcW w:type="dxa" w:w="5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входное значение как число двойной точности</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7"/>
                <w:szCs w:val="17"/>
              </w:rPr>
              <w:t xml:space="preserve">input_f64_hex</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string</w:t>
            </w:r>
          </w:p>
        </w:tc>
        <w:tc>
          <w:tcPr>
            <w:tcW w:type="dxa" w:w="5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шестнадцатеричная кодировка IEEE 754 входа (f32 или f64)</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7"/>
                <w:szCs w:val="17"/>
              </w:rPr>
              <w:t xml:space="preserve">&lt;fmt&gt;_bits_hex</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string</w:t>
            </w:r>
          </w:p>
        </w:tc>
        <w:tc>
          <w:tcPr>
            <w:tcW w:type="dxa" w:w="5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битовый паттерн целевого формата, hex</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7"/>
                <w:szCs w:val="17"/>
              </w:rPr>
              <w:t xml:space="preserve">&lt;fmt&gt;_bits_int</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integer</w:t>
            </w:r>
          </w:p>
        </w:tc>
        <w:tc>
          <w:tcPr>
            <w:tcW w:type="dxa" w:w="5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тот же битовый паттерн как беззнаковое целое</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7"/>
                <w:szCs w:val="17"/>
              </w:rPr>
              <w:t xml:space="preserve">decoded_f64</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number</w:t>
            </w:r>
          </w:p>
        </w:tc>
        <w:tc>
          <w:tcPr>
            <w:tcW w:type="dxa" w:w="5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результат decode(encode(input))</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7"/>
                <w:szCs w:val="17"/>
              </w:rPr>
              <w:t xml:space="preserve">decoded_f64_hex</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string</w:t>
            </w:r>
          </w:p>
        </w:tc>
        <w:tc>
          <w:tcPr>
            <w:tcW w:type="dxa" w:w="5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шестнадцатеричная кодировка IEEE 754 декодированного значения</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7"/>
                <w:szCs w:val="17"/>
              </w:rPr>
              <w:t xml:space="preserve">abs_error</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number</w:t>
            </w:r>
          </w:p>
        </w:tc>
        <w:tc>
          <w:tcPr>
            <w:tcW w:type="dxa" w:w="5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|вход − декодированное|; всегда показывается (никогда не скрывается)</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7"/>
                <w:szCs w:val="17"/>
              </w:rPr>
              <w:t xml:space="preserve">category</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string</w:t>
            </w:r>
          </w:p>
        </w:tc>
        <w:tc>
          <w:tcPr>
            <w:tcW w:type="dxa" w:w="56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zero / normal / subnormal / inf / nan / overflow / underflow / rounding / anchor / transcendental</w:t>
            </w:r>
          </w:p>
        </w:tc>
      </w:tr>
    </w:tbl>
    <w:p>
      <w:pPr>
        <w:spacing w:after="160" w:before="60"/>
        <w:jc w:val="center"/>
      </w:pPr>
      <w:r>
        <w:rPr>
          <w:rFonts w:ascii="Times New Roman" w:cs="Times New Roman" w:eastAsia="Times New Roman" w:hAnsi="Times New Roman"/>
          <w:i/>
          <w:iCs/>
          <w:sz w:val="20"/>
          <w:szCs w:val="20"/>
        </w:rPr>
        <w:t xml:space="preserve">Таблица 3. Общая схема строк для всех пакетов соответствия (T3).</w:t>
      </w:r>
    </w:p>
    <w:p>
      <w:pPr>
        <w:pStyle w:val="Heading2"/>
        <w:spacing w:after="110" w:before="220"/>
      </w:pPr>
      <w:r>
        <w:rPr>
          <w:rFonts w:ascii="Times New Roman" w:cs="Times New Roman" w:eastAsia="Times New Roman" w:hAnsi="Times New Roman"/>
          <w:b/>
          <w:bCs/>
          <w:color w:val="000000"/>
          <w:sz w:val="26"/>
          <w:szCs w:val="26"/>
        </w:rPr>
        <w:t xml:space="preserve">4.2. Заголовок пакета</w:t>
      </w:r>
    </w:p>
    <w:p>
      <w:pPr>
        <w:spacing w:after="120" w:line="360"/>
        <w:ind w:firstLine="283"/>
        <w:jc w:val="both"/>
      </w:pPr>
      <w:r>
        <w:rPr>
          <w:rFonts w:ascii="Times New Roman" w:cs="Times New Roman" w:eastAsia="Times New Roman" w:hAnsi="Times New Roman"/>
          <w:sz w:val="22"/>
          <w:szCs w:val="22"/>
        </w:rPr>
        <w:t xml:space="preserve">Помимо массива векторов, каждый файл пакета несёт объект-заголовок со следующими полями:</w:t>
      </w:r>
    </w:p>
    <w:p>
      <w:pPr>
        <w:pStyle w:val="ListParagraph"/>
        <w:numPr>
          <w:ilvl w:val="0"/>
          <w:numId w:val="2"/>
        </w:numPr>
        <w:spacing w:after="80" w:line="276"/>
        <w:jc w:val="both"/>
      </w:pPr>
      <w:r>
        <w:rPr>
          <w:rFonts w:ascii="Times New Roman" w:cs="Times New Roman" w:eastAsia="Times New Roman" w:hAnsi="Times New Roman"/>
          <w:sz w:val="22"/>
          <w:szCs w:val="22"/>
        </w:rPr>
        <w:t xml:space="preserve">Четвёрка спецификации формата: (E, M, смещение порядка, политика inf/NaN)</w:t>
      </w:r>
    </w:p>
    <w:p>
      <w:pPr>
        <w:pStyle w:val="ListParagraph"/>
        <w:numPr>
          <w:ilvl w:val="0"/>
          <w:numId w:val="2"/>
        </w:numPr>
        <w:spacing w:after="80" w:line="276"/>
        <w:jc w:val="both"/>
      </w:pPr>
      <w:r>
        <w:rPr>
          <w:rFonts w:ascii="Times New Roman" w:cs="Times New Roman" w:eastAsia="Times New Roman" w:hAnsi="Times New Roman"/>
          <w:sz w:val="22"/>
          <w:szCs w:val="22"/>
        </w:rPr>
        <w:t xml:space="preserve">Политика насыщения</w:t>
      </w:r>
    </w:p>
    <w:p>
      <w:pPr>
        <w:pStyle w:val="ListParagraph"/>
        <w:numPr>
          <w:ilvl w:val="0"/>
          <w:numId w:val="2"/>
        </w:numPr>
        <w:spacing w:after="80" w:line="276"/>
        <w:jc w:val="both"/>
      </w:pPr>
      <w:r>
        <w:rPr>
          <w:rFonts w:ascii="Times New Roman" w:cs="Times New Roman" w:eastAsia="Times New Roman" w:hAnsi="Times New Roman"/>
          <w:sz w:val="22"/>
          <w:szCs w:val="22"/>
        </w:rPr>
        <w:t xml:space="preserve">Максимальное конечное значение</w:t>
      </w:r>
    </w:p>
    <w:p>
      <w:pPr>
        <w:pStyle w:val="ListParagraph"/>
        <w:numPr>
          <w:ilvl w:val="0"/>
          <w:numId w:val="2"/>
        </w:numPr>
        <w:spacing w:after="80" w:line="276"/>
        <w:jc w:val="both"/>
      </w:pPr>
      <w:r>
        <w:rPr>
          <w:rFonts w:ascii="Times New Roman" w:cs="Times New Roman" w:eastAsia="Times New Roman" w:hAnsi="Times New Roman"/>
          <w:sz w:val="22"/>
          <w:szCs w:val="22"/>
        </w:rPr>
        <w:t xml:space="preserve">Самоотпечаток SHA-256 (вычисленный по канонической JSON-сериализации)</w:t>
      </w:r>
    </w:p>
    <w:p>
      <w:pPr>
        <w:pStyle w:val="ListParagraph"/>
        <w:numPr>
          <w:ilvl w:val="0"/>
          <w:numId w:val="2"/>
        </w:numPr>
        <w:spacing w:after="80" w:line="276"/>
        <w:jc w:val="both"/>
      </w:pPr>
      <w:r>
        <w:rPr>
          <w:rFonts w:ascii="Times New Roman" w:cs="Times New Roman" w:eastAsia="Times New Roman" w:hAnsi="Times New Roman"/>
          <w:sz w:val="22"/>
          <w:szCs w:val="22"/>
        </w:rPr>
        <w:t xml:space="preserve">Якорь версии </w:t>
      </w:r>
      <w:r>
        <w:rPr>
          <w:rFonts w:ascii="Consolas" w:cs="Consolas" w:eastAsia="Consolas" w:hAnsi="Consolas"/>
          <w:sz w:val="22"/>
          <w:szCs w:val="22"/>
        </w:rPr>
        <w:t xml:space="preserve">ml_dtypes</w:t>
      </w:r>
    </w:p>
    <w:p>
      <w:pPr>
        <w:pStyle w:val="ListParagraph"/>
        <w:numPr>
          <w:ilvl w:val="0"/>
          <w:numId w:val="2"/>
        </w:numPr>
        <w:spacing w:after="80" w:line="276"/>
        <w:jc w:val="both"/>
      </w:pPr>
      <w:r>
        <w:rPr>
          <w:rFonts w:ascii="Times New Roman" w:cs="Times New Roman" w:eastAsia="Times New Roman" w:hAnsi="Times New Roman"/>
          <w:sz w:val="22"/>
          <w:szCs w:val="22"/>
        </w:rPr>
        <w:t xml:space="preserve">Ссылка на якорное тождество: </w:t>
      </w:r>
      <w:r>
        <w:rPr>
          <w:rFonts w:ascii="Consolas" w:cs="Consolas" w:eastAsia="Consolas" w:hAnsi="Consolas"/>
          <w:sz w:val="22"/>
          <w:szCs w:val="22"/>
        </w:rPr>
        <w:t xml:space="preserve">phi^2 + 1/phi^2 = 3 (arXiv:2606.05017)</w:t>
      </w:r>
    </w:p>
    <w:p>
      <w:pPr>
        <w:pStyle w:val="Heading2"/>
        <w:spacing w:after="110" w:before="220"/>
      </w:pPr>
      <w:r>
        <w:rPr>
          <w:rFonts w:ascii="Times New Roman" w:cs="Times New Roman" w:eastAsia="Times New Roman" w:hAnsi="Times New Roman"/>
          <w:b/>
          <w:bCs/>
          <w:color w:val="000000"/>
          <w:sz w:val="26"/>
          <w:szCs w:val="26"/>
        </w:rPr>
        <w:t xml:space="preserve">4.3. Якорный вектор</w:t>
      </w:r>
    </w:p>
    <w:p>
      <w:pPr>
        <w:spacing w:after="120" w:line="360"/>
        <w:ind w:firstLine="283"/>
        <w:jc w:val="both"/>
      </w:pPr>
      <w:r>
        <w:rPr>
          <w:rFonts w:ascii="Times New Roman" w:cs="Times New Roman" w:eastAsia="Times New Roman" w:hAnsi="Times New Roman"/>
          <w:sz w:val="22"/>
          <w:szCs w:val="22"/>
        </w:rPr>
        <w:t xml:space="preserve">Каждый пакет содержит как минимум один вектор с именем </w:t>
      </w:r>
      <w:r>
        <w:rPr>
          <w:rFonts w:ascii="Consolas" w:cs="Consolas" w:eastAsia="Consolas" w:hAnsi="Consolas"/>
          <w:sz w:val="22"/>
          <w:szCs w:val="22"/>
        </w:rPr>
        <w:t xml:space="preserve">anchor_*</w:t>
      </w:r>
      <w:r>
        <w:rPr>
          <w:rFonts w:ascii="Times New Roman" w:cs="Times New Roman" w:eastAsia="Times New Roman" w:hAnsi="Times New Roman"/>
          <w:sz w:val="22"/>
          <w:szCs w:val="22"/>
        </w:rPr>
        <w:t xml:space="preserve">, кодирующий значение 3,0. Мотивацией служит тождество</w:t>
      </w:r>
    </w:p>
    <w:p>
      <w:pPr>
        <w:spacing w:after="80" w:before="80"/>
        <w:jc w:val="center"/>
      </w:pPr>
      <w:r>
        <w:rPr>
          <w:rFonts w:ascii="Times New Roman" w:cs="Times New Roman" w:eastAsia="Times New Roman" w:hAnsi="Times New Roman"/>
          <w:i/>
          <w:iCs/>
          <w:sz w:val="26"/>
          <w:szCs w:val="26"/>
        </w:rPr>
        <w:t xml:space="preserve">φ² + 1/φ² = 3,     (1)</w:t>
      </w:r>
    </w:p>
    <w:p>
      <w:pPr>
        <w:spacing w:after="120" w:line="360"/>
        <w:ind w:firstLine="283"/>
        <w:jc w:val="both"/>
      </w:pPr>
      <w:r>
        <w:rPr>
          <w:rFonts w:ascii="Times New Roman" w:cs="Times New Roman" w:eastAsia="Times New Roman" w:hAnsi="Times New Roman"/>
          <w:sz w:val="22"/>
          <w:szCs w:val="22"/>
        </w:rPr>
        <w:t xml:space="preserve">где φ = (1 + √5)/2 — золотое сечение. Это тождество представлено и контекстуализировано в препринте GoldenFloat как численно обоснованный L₂-якорь. Значение 3,0 точно представимо во всех шести форматах подмножества Tier-1 (оно попадает в нормальный диапазон с нулевой ошибкой мантиссы для всех шести раскладок), что делает его надёжной однострочной проверкой корректности между пакетами. В полном каталоговом наборе поле anchor_check каждого пакета фиксирует представимость 3,0: из 75 битоточных пакетов 3,0 попадает точно на сетку (ieee754_exact: true) в 61 пакете, а в 12 — нет. Эти 12 исключений относятся к грид-теоретическим классам, где 3,0 непредставимо точно: логарифмические и тейперированно-логарифмические форматы (LNS-8/16/32/64, takum-8/16/32/64, GFTernary; log₂3 иррационально либо не попадает на лог-сетку) и наиболее грубые 4-битные сетки (GF4, MXGF4, NF4). Для этих форматов пакет честно фиксирует ближайшее представимое значение и истинную </w:t>
      </w:r>
      <w:r>
        <w:rPr>
          <w:rFonts w:ascii="Consolas" w:cs="Consolas" w:eastAsia="Consolas" w:hAnsi="Consolas"/>
          <w:sz w:val="22"/>
          <w:szCs w:val="22"/>
        </w:rPr>
        <w:t xml:space="preserve">abs_error</w:t>
      </w:r>
      <w:r>
        <w:rPr>
          <w:rFonts w:ascii="Times New Roman" w:cs="Times New Roman" w:eastAsia="Times New Roman" w:hAnsi="Times New Roman"/>
          <w:sz w:val="22"/>
          <w:szCs w:val="22"/>
        </w:rPr>
        <w:t xml:space="preserve">. Для остальных 2 битоточных пакетов (GF14, BCD) поле anchor_check не заполнено. Шесть широких GF-форматов (GF48, GF96, GF128, GF256, GF512, GF1024) ранее были самосогласованными (единый закон декодирования без независимого второго witness); теперь они подняты до строгой битоточности независимым вторым декодером (dyadic-exact, abs_error=0) с золотым Fraction-оракулом и аналитической границей разделения нулевого округления, что доводит достижимый программный потолок до 75 из 83 форматов (25 из которых — LNS/takum/GFTernary/GF4/MXGF4/NF4 — представляют 3,0 приближённо; см. выше). Оставшиеся 8 форматов — структурные (без единой раскладки S:E:M по основанию 2) и остаются вне битоточной оси по определению.</w:t>
      </w:r>
    </w:p>
    <w:p>
      <w:pPr>
        <w:spacing w:after="120" w:line="360"/>
        <w:ind w:firstLine="283"/>
        <w:jc w:val="both"/>
      </w:pPr>
      <w:r>
        <w:rPr>
          <w:rFonts w:ascii="Times New Roman" w:cs="Times New Roman" w:eastAsia="Times New Roman" w:hAnsi="Times New Roman"/>
          <w:sz w:val="22"/>
          <w:szCs w:val="22"/>
        </w:rPr>
        <w:t xml:space="preserve">Формально: для любого формата пакета F, если decode_F(encode_F(3,0)) ≠ 3,0, присутствует фундаментальная ошибка реализации.</w:t>
      </w:r>
    </w:p>
    <w:p>
      <w:pPr>
        <w:pStyle w:val="Heading2"/>
        <w:spacing w:after="110" w:before="220"/>
      </w:pPr>
      <w:r>
        <w:rPr>
          <w:rFonts w:ascii="Times New Roman" w:cs="Times New Roman" w:eastAsia="Times New Roman" w:hAnsi="Times New Roman"/>
          <w:b/>
          <w:bCs/>
          <w:color w:val="000000"/>
          <w:sz w:val="26"/>
          <w:szCs w:val="26"/>
        </w:rPr>
        <w:t xml:space="preserve">4.4. Шаги верификации</w:t>
      </w:r>
    </w:p>
    <w:p>
      <w:pPr>
        <w:spacing w:after="120" w:line="360"/>
        <w:ind w:firstLine="283"/>
        <w:jc w:val="both"/>
      </w:pPr>
      <w:r>
        <w:rPr>
          <w:rFonts w:ascii="Times New Roman" w:cs="Times New Roman" w:eastAsia="Times New Roman" w:hAnsi="Times New Roman"/>
          <w:sz w:val="22"/>
          <w:szCs w:val="22"/>
        </w:rPr>
        <w:t xml:space="preserve">Каждый пакет проверяется двумя независимыми процедурами:</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Самопроверка циклическим кодированием-декодированием (round-trip). </w:t>
      </w:r>
      <w:r>
        <w:rPr>
          <w:rFonts w:ascii="Times New Roman" w:cs="Times New Roman" w:eastAsia="Times New Roman" w:hAnsi="Times New Roman"/>
          <w:sz w:val="22"/>
          <w:szCs w:val="22"/>
        </w:rPr>
        <w:t xml:space="preserve">Для каждого вектора: decode(encode(input)) = decoded, причём сохранённое значение </w:t>
      </w:r>
      <w:r>
        <w:rPr>
          <w:rFonts w:ascii="Consolas" w:cs="Consolas" w:eastAsia="Consolas" w:hAnsi="Consolas"/>
          <w:sz w:val="22"/>
          <w:szCs w:val="22"/>
        </w:rPr>
        <w:t xml:space="preserve">abs_error</w:t>
      </w:r>
      <w:r>
        <w:rPr>
          <w:rFonts w:ascii="Times New Roman" w:cs="Times New Roman" w:eastAsia="Times New Roman" w:hAnsi="Times New Roman"/>
          <w:sz w:val="22"/>
          <w:szCs w:val="22"/>
        </w:rPr>
        <w:t xml:space="preserve"> согласовано с отклонением.</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Перекрёстная проверка относительно ml_dtypes 0.5.4. </w:t>
      </w:r>
      <w:r>
        <w:rPr>
          <w:rFonts w:ascii="Times New Roman" w:cs="Times New Roman" w:eastAsia="Times New Roman" w:hAnsi="Times New Roman"/>
          <w:sz w:val="22"/>
          <w:szCs w:val="22"/>
        </w:rPr>
        <w:t xml:space="preserve">Там, где существует соответствующий тип ml_dtypes, битовые паттерны пакета сравниваются с кодировкой ml_dtypes тех же входов. Каждое расхождение записывается в список </w:t>
      </w:r>
      <w:r>
        <w:rPr>
          <w:rFonts w:ascii="Consolas" w:cs="Consolas" w:eastAsia="Consolas" w:hAnsi="Consolas"/>
          <w:sz w:val="22"/>
          <w:szCs w:val="22"/>
        </w:rPr>
        <w:t xml:space="preserve">divergences</w:t>
      </w:r>
      <w:r>
        <w:rPr>
          <w:rFonts w:ascii="Times New Roman" w:cs="Times New Roman" w:eastAsia="Times New Roman" w:hAnsi="Times New Roman"/>
          <w:sz w:val="22"/>
          <w:szCs w:val="22"/>
        </w:rPr>
        <w:t xml:space="preserve"> заголовка пакета и описывается в настоящей статье.</w:t>
      </w:r>
    </w:p>
    <w:p>
      <w:pPr>
        <w:spacing w:after="120" w:line="360"/>
        <w:ind w:firstLine="283"/>
        <w:jc w:val="both"/>
      </w:pPr>
      <w:r>
        <w:rPr>
          <w:rFonts w:ascii="Times New Roman" w:cs="Times New Roman" w:eastAsia="Times New Roman" w:hAnsi="Times New Roman"/>
          <w:sz w:val="22"/>
          <w:szCs w:val="22"/>
        </w:rPr>
        <w:t xml:space="preserve">Честная трактовка абсолютной ошибки — непреложный принцип проектирования. Каждый вектор, в котором декодированное значение отличается от входного, несёт ненулевое значение </w:t>
      </w:r>
      <w:r>
        <w:rPr>
          <w:rFonts w:ascii="Consolas" w:cs="Consolas" w:eastAsia="Consolas" w:hAnsi="Consolas"/>
          <w:sz w:val="22"/>
          <w:szCs w:val="22"/>
        </w:rPr>
        <w:t xml:space="preserve">abs_error</w:t>
      </w:r>
      <w:r>
        <w:rPr>
          <w:rFonts w:ascii="Times New Roman" w:cs="Times New Roman" w:eastAsia="Times New Roman" w:hAnsi="Times New Roman"/>
          <w:sz w:val="22"/>
          <w:szCs w:val="22"/>
        </w:rPr>
        <w:t xml:space="preserve">; никакое значение не подавляется и не округляется до нуля ради улучшения статистики совпадений.</w:t>
      </w:r>
    </w:p>
    <w:p>
      <w:pPr>
        <w:pStyle w:val="Heading2"/>
        <w:spacing w:after="110" w:before="220"/>
      </w:pPr>
      <w:r>
        <w:rPr>
          <w:rFonts w:ascii="Times New Roman" w:cs="Times New Roman" w:eastAsia="Times New Roman" w:hAnsi="Times New Roman"/>
          <w:b/>
          <w:bCs/>
          <w:color w:val="000000"/>
          <w:sz w:val="26"/>
          <w:szCs w:val="26"/>
        </w:rPr>
        <w:t xml:space="preserve">4.5. Политика покрытия всех 83 форматов</w:t>
      </w:r>
    </w:p>
    <w:p>
      <w:pPr>
        <w:spacing w:after="120" w:line="360"/>
        <w:ind w:firstLine="283"/>
        <w:jc w:val="both"/>
      </w:pPr>
      <w:r>
        <w:rPr>
          <w:rFonts w:ascii="Times New Roman" w:cs="Times New Roman" w:eastAsia="Times New Roman" w:hAnsi="Times New Roman"/>
          <w:sz w:val="22"/>
          <w:szCs w:val="22"/>
        </w:rPr>
        <w:t xml:space="preserve">Набор пакетов покрывает весь каталог — по одному пакету на каждый из 83 форматов — по детерминированной и воспроизводимой политике:</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Форматы ≤ 8 бит: </w:t>
      </w:r>
      <w:r>
        <w:rPr>
          <w:rFonts w:ascii="Times New Roman" w:cs="Times New Roman" w:eastAsia="Times New Roman" w:hAnsi="Times New Roman"/>
          <w:sz w:val="22"/>
          <w:szCs w:val="22"/>
        </w:rPr>
        <w:t xml:space="preserve">исчерпывающее перечисление всех кодов формата.</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Форматы &gt; 8 бит: </w:t>
      </w:r>
      <w:r>
        <w:rPr>
          <w:rFonts w:ascii="Times New Roman" w:cs="Times New Roman" w:eastAsia="Times New Roman" w:hAnsi="Times New Roman"/>
          <w:sz w:val="22"/>
          <w:szCs w:val="22"/>
        </w:rPr>
        <w:t xml:space="preserve">курируемый набор именованных векторов (нуль, единица, два, три, половина, четыре, отрицательные и специальные значения формата) через явные кодеры — без перебора всех кодов и без многомегабайтных файлов.</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Форматы без радикс-2 раскладки S:E:M: </w:t>
      </w:r>
      <w:r>
        <w:rPr>
          <w:rFonts w:ascii="Times New Roman" w:cs="Times New Roman" w:eastAsia="Times New Roman" w:hAnsi="Times New Roman"/>
          <w:sz w:val="22"/>
          <w:szCs w:val="22"/>
        </w:rPr>
        <w:t xml:space="preserve">структурный пакет с полными метаданными каталога, пометкой </w:t>
      </w:r>
      <w:r>
        <w:rPr>
          <w:rFonts w:ascii="Consolas" w:cs="Consolas" w:eastAsia="Consolas" w:hAnsi="Consolas"/>
          <w:sz w:val="22"/>
          <w:szCs w:val="22"/>
        </w:rPr>
        <w:t xml:space="preserve">bitexact: false</w:t>
      </w:r>
      <w:r>
        <w:rPr>
          <w:rFonts w:ascii="Times New Roman" w:cs="Times New Roman" w:eastAsia="Times New Roman" w:hAnsi="Times New Roman"/>
          <w:sz w:val="22"/>
          <w:szCs w:val="22"/>
        </w:rPr>
        <w:t xml:space="preserve"> и явным полем </w:t>
      </w:r>
      <w:r>
        <w:rPr>
          <w:rFonts w:ascii="Consolas" w:cs="Consolas" w:eastAsia="Consolas" w:hAnsi="Consolas"/>
          <w:sz w:val="22"/>
          <w:szCs w:val="22"/>
        </w:rPr>
        <w:t xml:space="preserve">structural_reason</w:t>
      </w:r>
      <w:r>
        <w:rPr>
          <w:rFonts w:ascii="Times New Roman" w:cs="Times New Roman" w:eastAsia="Times New Roman" w:hAnsi="Times New Roman"/>
          <w:sz w:val="22"/>
          <w:szCs w:val="22"/>
        </w:rPr>
        <w:t xml:space="preserve">. Это честные плейсхолдеры, а не утверждения о битоточности.</w:t>
      </w:r>
    </w:p>
    <w:p>
      <w:pPr>
        <w:spacing w:after="120" w:line="360"/>
        <w:ind w:firstLine="283"/>
        <w:jc w:val="both"/>
      </w:pPr>
      <w:r>
        <w:rPr>
          <w:rFonts w:ascii="Times New Roman" w:cs="Times New Roman" w:eastAsia="Times New Roman" w:hAnsi="Times New Roman"/>
          <w:sz w:val="22"/>
          <w:szCs w:val="22"/>
        </w:rPr>
        <w:t xml:space="preserve">Итог: 75 битоточных пакетов, 0 самосогласованных и 8 структурных пакетов (всего 83). Перекрёстная проверка относительно внешнего оракула ml_dtypes применяется к подмножеству Tier-1 (раздел 4.4, пункт 2); остальные битоточные пакеты на данный момент верифицируются самопроверкой кругового кодирования-декодирования, а внешняя перекрёстная проверка по мере появления эталонных реализаций расширяет Tier-1 (раздел 9).</w:t>
      </w:r>
    </w:p>
    <w:p>
      <w:pPr>
        <w:spacing w:after="120" w:line="360"/>
        <w:ind w:firstLine="283"/>
        <w:jc w:val="both"/>
      </w:pPr>
      <w:r>
        <w:rPr>
          <w:rFonts w:ascii="Times New Roman" w:cs="Times New Roman" w:eastAsia="Times New Roman" w:hAnsi="Times New Roman"/>
          <w:sz w:val="22"/>
          <w:szCs w:val="22"/>
        </w:rPr>
        <w:t xml:space="preserve">Машиночитаемый индекс </w:t>
      </w:r>
      <w:r>
        <w:rPr>
          <w:rFonts w:ascii="Consolas" w:cs="Consolas" w:eastAsia="Consolas" w:hAnsi="Consolas"/>
          <w:sz w:val="22"/>
          <w:szCs w:val="22"/>
        </w:rPr>
        <w:t xml:space="preserve">INDEX_all_formats.json</w:t>
      </w:r>
      <w:r>
        <w:rPr>
          <w:rFonts w:ascii="Times New Roman" w:cs="Times New Roman" w:eastAsia="Times New Roman" w:hAnsi="Times New Roman"/>
          <w:sz w:val="22"/>
          <w:szCs w:val="22"/>
        </w:rPr>
        <w:t xml:space="preserve"> перечисляет все 83 пакета с итогами (</w:t>
      </w:r>
      <w:r>
        <w:rPr>
          <w:rFonts w:ascii="Consolas" w:cs="Consolas" w:eastAsia="Consolas" w:hAnsi="Consolas"/>
          <w:sz w:val="22"/>
          <w:szCs w:val="22"/>
        </w:rPr>
        <w:t xml:space="preserve">total_packs: 83, bitexact_packs: 75, selfconsistent_packs: 0, structural_packs: 8</w:t>
      </w:r>
      <w:r>
        <w:rPr>
          <w:rFonts w:ascii="Times New Roman" w:cs="Times New Roman" w:eastAsia="Times New Roman" w:hAnsi="Times New Roman"/>
          <w:sz w:val="22"/>
          <w:szCs w:val="22"/>
        </w:rPr>
        <w:t xml:space="preserve">), якорным тождеством и ссылкой на SSOT.</w:t>
      </w:r>
    </w:p>
    <w:p>
      <w:pPr>
        <w:pStyle w:val="Heading1"/>
        <w:spacing w:after="140" w:before="280"/>
      </w:pPr>
      <w:r>
        <w:rPr>
          <w:rFonts w:ascii="Times New Roman" w:cs="Times New Roman" w:eastAsia="Times New Roman" w:hAnsi="Times New Roman"/>
          <w:b/>
          <w:bCs/>
          <w:color w:val="000000"/>
          <w:sz w:val="30"/>
          <w:szCs w:val="30"/>
        </w:rPr>
        <w:t xml:space="preserve">5. Полный набор пакетов и шесть пакетов Tier-1</w:t>
      </w:r>
    </w:p>
    <w:p>
      <w:pPr>
        <w:spacing w:after="120" w:line="360"/>
        <w:ind w:firstLine="283"/>
        <w:jc w:val="both"/>
      </w:pPr>
      <w:r>
        <w:rPr>
          <w:rFonts w:ascii="Times New Roman" w:cs="Times New Roman" w:eastAsia="Times New Roman" w:hAnsi="Times New Roman"/>
          <w:sz w:val="22"/>
          <w:szCs w:val="22"/>
        </w:rPr>
        <w:t xml:space="preserve">Набор пакетов соответствия покрывает все 83 формата каталога — 75 битоточных пакетов, 0 самосогласованных и 8 структурных пакетов (раздел 4.5, полный перечень и отпечатки SHA-256 — в README каталога </w:t>
      </w:r>
      <w:r>
        <w:rPr>
          <w:rFonts w:ascii="Consolas" w:cs="Consolas" w:eastAsia="Consolas" w:hAnsi="Consolas"/>
          <w:sz w:val="22"/>
          <w:szCs w:val="22"/>
        </w:rPr>
        <w:t xml:space="preserve">conformance/vectors</w:t>
      </w:r>
      <w:r>
        <w:rPr>
          <w:rFonts w:ascii="Times New Roman" w:cs="Times New Roman" w:eastAsia="Times New Roman" w:hAnsi="Times New Roman"/>
          <w:sz w:val="22"/>
          <w:szCs w:val="22"/>
        </w:rPr>
        <w:t xml:space="preserve"> репозитория gHashTag/t27). Далее подробно разбираются шесть пакетов уровня Tier-1, для которых выполнена дополнительная перекрёстная проверка относительно внешнего оракула. Таблица 4 даёт сводку по этим шести пакетам.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800"/>
        <w:gridCol w:w="2300"/>
        <w:gridCol w:w="1500"/>
        <w:gridCol w:w="1160"/>
      </w:tblGrid>
      <w:tr>
        <w:trPr>
          <w:tblHeader/>
        </w:trPr>
        <w:tc>
          <w:tcPr>
            <w:tcW w:type="dxa" w:w="13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8"/>
                <w:szCs w:val="18"/>
              </w:rPr>
              <w:t xml:space="preserve">Пакет</w:t>
            </w:r>
          </w:p>
        </w:tc>
        <w:tc>
          <w:tcPr>
            <w:tcW w:type="dxa" w:w="23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8"/>
                <w:szCs w:val="18"/>
              </w:rPr>
              <w:t xml:space="preserve">Раскладка</w:t>
            </w:r>
          </w:p>
        </w:tc>
        <w:tc>
          <w:tcPr>
            <w:tcW w:type="dxa" w:w="8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8"/>
                <w:szCs w:val="18"/>
              </w:rPr>
              <w:t xml:space="preserve">Век-ры</w:t>
            </w:r>
          </w:p>
        </w:tc>
        <w:tc>
          <w:tcPr>
            <w:tcW w:type="dxa" w:w="23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8"/>
                <w:szCs w:val="18"/>
              </w:rPr>
              <w:t xml:space="preserve">Совпадение ml_dtypes</w:t>
            </w:r>
          </w:p>
        </w:tc>
        <w:tc>
          <w:tcPr>
            <w:tcW w:type="dxa" w:w="15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8"/>
                <w:szCs w:val="18"/>
              </w:rPr>
              <w:t xml:space="preserve">Статус</w:t>
            </w:r>
          </w:p>
        </w:tc>
        <w:tc>
          <w:tcPr>
            <w:tcW w:type="dxa" w:w="116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8"/>
                <w:szCs w:val="18"/>
              </w:rPr>
              <w:t xml:space="preserve">SHA-256 (16)</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GF16</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S1E5M10, привязка к φ</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21</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н/п (нет аналога в ml_dtypes)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LIVE v0.3.1</w:t>
            </w:r>
          </w:p>
        </w:tc>
        <w:tc>
          <w:tcPr>
            <w:tcW w:type="dxa" w:w="1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см. репозиторий</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MXFP4</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S1E2M1, элемент блока</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н/п</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LIVE v0.3.1</w:t>
            </w:r>
          </w:p>
        </w:tc>
        <w:tc>
          <w:tcPr>
            <w:tcW w:type="dxa" w:w="1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6"/>
                <w:szCs w:val="16"/>
              </w:rPr>
              <w:t xml:space="preserve">86c99d6f72375d75</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BF16</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S1E8M7 bias=127, RTE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21</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21/21</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NEW v0.4.0-pre</w:t>
            </w:r>
          </w:p>
        </w:tc>
        <w:tc>
          <w:tcPr>
            <w:tcW w:type="dxa" w:w="1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6"/>
                <w:szCs w:val="16"/>
              </w:rPr>
              <w:t xml:space="preserve">320c1850b4846745</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FP8 E4M3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S1E4M3 bias=7, SatMax</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16</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15/16 (раздел 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NEW v0.4.0-pre</w:t>
            </w:r>
          </w:p>
        </w:tc>
        <w:tc>
          <w:tcPr>
            <w:tcW w:type="dxa" w:w="1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6"/>
                <w:szCs w:val="16"/>
              </w:rPr>
              <w:t xml:space="preserve">fff0c30f8e6bee22</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FP8 E5M2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S1E5M2 bias=15, OvfInf</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17</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17/17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NEW v0.4.0-pre</w:t>
            </w:r>
          </w:p>
        </w:tc>
        <w:tc>
          <w:tcPr>
            <w:tcW w:type="dxa" w:w="1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6"/>
                <w:szCs w:val="16"/>
              </w:rPr>
              <w:t xml:space="preserve">66cd7be1500ec800</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E8M0 block</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E8M0 только масштаб, без знака</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11</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согласован с OCP MX v1.0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NEW v0.4.0-pre</w:t>
            </w:r>
          </w:p>
        </w:tc>
        <w:tc>
          <w:tcPr>
            <w:tcW w:type="dxa" w:w="11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6"/>
                <w:szCs w:val="16"/>
              </w:rPr>
              <w:t xml:space="preserve">b211f1a863f71fd7</w:t>
            </w:r>
          </w:p>
        </w:tc>
      </w:tr>
    </w:tbl>
    <w:p>
      <w:pPr>
        <w:spacing w:after="160" w:before="60"/>
        <w:jc w:val="center"/>
      </w:pPr>
      <w:r>
        <w:rPr>
          <w:rFonts w:ascii="Times New Roman" w:cs="Times New Roman" w:eastAsia="Times New Roman" w:hAnsi="Times New Roman"/>
          <w:i/>
          <w:iCs/>
          <w:sz w:val="20"/>
          <w:szCs w:val="20"/>
        </w:rPr>
        <w:t xml:space="preserve">Таблица 4. Шесть пакетов Tier-1 с первого взгляда (T4).</w:t>
      </w:r>
    </w:p>
    <w:p>
      <w:pPr>
        <w:spacing w:after="120" w:line="360"/>
        <w:ind w:firstLine="283"/>
        <w:jc w:val="both"/>
      </w:pPr>
      <w:r>
        <w:rPr>
          <w:rFonts w:ascii="Times New Roman" w:cs="Times New Roman" w:eastAsia="Times New Roman" w:hAnsi="Times New Roman"/>
          <w:sz w:val="22"/>
          <w:szCs w:val="22"/>
        </w:rPr>
        <w:t xml:space="preserve">Полные отпечатки SHA-256 (дословно из манифеста):</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GF16: </w:t>
      </w:r>
      <w:r>
        <w:rPr>
          <w:rFonts w:ascii="Consolas" w:cs="Consolas" w:eastAsia="Consolas" w:hAnsi="Consolas"/>
          <w:sz w:val="18"/>
          <w:szCs w:val="18"/>
        </w:rPr>
        <w:t xml:space="preserve">см. репозиторий (SHA-256 пока не закреплён в манифесте v0.4.0-pre)</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MXFP4: </w:t>
      </w:r>
      <w:r>
        <w:rPr>
          <w:rFonts w:ascii="Consolas" w:cs="Consolas" w:eastAsia="Consolas" w:hAnsi="Consolas"/>
          <w:sz w:val="18"/>
          <w:szCs w:val="18"/>
        </w:rPr>
        <w:t xml:space="preserve">86c99d6f72375d751df4c74897904a0a36cff52e8d60cbfef5d58b71625d4b2f</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BF16: </w:t>
      </w:r>
      <w:r>
        <w:rPr>
          <w:rFonts w:ascii="Consolas" w:cs="Consolas" w:eastAsia="Consolas" w:hAnsi="Consolas"/>
          <w:sz w:val="18"/>
          <w:szCs w:val="18"/>
        </w:rPr>
        <w:t xml:space="preserve">320c1850b484674546785791b1c22d76feb4ea748c6669ffb633e5455d822b8a</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FP8 E4M3: </w:t>
      </w:r>
      <w:r>
        <w:rPr>
          <w:rFonts w:ascii="Consolas" w:cs="Consolas" w:eastAsia="Consolas" w:hAnsi="Consolas"/>
          <w:sz w:val="18"/>
          <w:szCs w:val="18"/>
        </w:rPr>
        <w:t xml:space="preserve">fff0c30f8e6bee22b1a7d0e0e1cff65edde9d2b17ebf97dba0539973f0a5e89d</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FP8 E5M2: </w:t>
      </w:r>
      <w:r>
        <w:rPr>
          <w:rFonts w:ascii="Consolas" w:cs="Consolas" w:eastAsia="Consolas" w:hAnsi="Consolas"/>
          <w:sz w:val="18"/>
          <w:szCs w:val="18"/>
        </w:rPr>
        <w:t xml:space="preserve">66cd7be1500ec8003eb5dee7532bb4e954b7bc0084b6f22a75d02f7842f23a56</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E8M0 block: </w:t>
      </w:r>
      <w:r>
        <w:rPr>
          <w:rFonts w:ascii="Consolas" w:cs="Consolas" w:eastAsia="Consolas" w:hAnsi="Consolas"/>
          <w:sz w:val="18"/>
          <w:szCs w:val="18"/>
        </w:rPr>
        <w:t xml:space="preserve">b211f1a863f71fd7c5e02e512efff0255ebcc51521311186e01cb9992e4464bd</w:t>
      </w:r>
    </w:p>
    <w:p>
      <w:pPr>
        <w:pStyle w:val="Heading2"/>
        <w:spacing w:after="110" w:before="220"/>
      </w:pPr>
      <w:r>
        <w:rPr>
          <w:rFonts w:ascii="Times New Roman" w:cs="Times New Roman" w:eastAsia="Times New Roman" w:hAnsi="Times New Roman"/>
          <w:b/>
          <w:bCs/>
          <w:color w:val="000000"/>
          <w:sz w:val="26"/>
          <w:szCs w:val="26"/>
        </w:rPr>
        <w:t xml:space="preserve">5.1. GF16 — GoldenFloat 16-бит</w:t>
      </w:r>
    </w:p>
    <w:p>
      <w:pPr>
        <w:spacing w:after="120" w:line="360"/>
        <w:ind w:firstLine="283"/>
        <w:jc w:val="both"/>
      </w:pPr>
      <w:r>
        <w:rPr>
          <w:rFonts w:ascii="Times New Roman" w:cs="Times New Roman" w:eastAsia="Times New Roman" w:hAnsi="Times New Roman"/>
          <w:sz w:val="22"/>
          <w:szCs w:val="22"/>
        </w:rPr>
        <w:t xml:space="preserve">GF16 — это 16-битный формат с раскладкой S1E5M10 и φ-поворотом представимого диапазона. Он описан и обоснован в препринте GoldenFloat. Пакет содержит 21 вектор, охватывающий нуль, нормальные значения, якорь 3,0 (кодирующий тождество </w:t>
      </w:r>
      <w:r>
        <w:rPr>
          <w:rFonts w:ascii="Times New Roman" w:cs="Times New Roman" w:eastAsia="Times New Roman" w:hAnsi="Times New Roman"/>
          <w:i/>
          <w:iCs/>
          <w:sz w:val="22"/>
          <w:szCs w:val="22"/>
        </w:rPr>
        <w:t xml:space="preserve">φ² + 1/φ² = 3</w:t>
      </w:r>
      <w:r>
        <w:rPr>
          <w:rFonts w:ascii="Times New Roman" w:cs="Times New Roman" w:eastAsia="Times New Roman" w:hAnsi="Times New Roman"/>
          <w:sz w:val="22"/>
          <w:szCs w:val="22"/>
        </w:rPr>
        <w:t xml:space="preserve">, ур. (1)), субнормальные числа и поведение при переполнении. Поскольку ml_dtypes не реализует тип GF16, у этого пакета нет партнёра для перекрёстной проверки; его векторы верифицируются только самопроверкой циклическим кодированием-декодированием. GF16 доступен в PyPI-пакете </w:t>
      </w:r>
      <w:r>
        <w:rPr>
          <w:rFonts w:ascii="Consolas" w:cs="Consolas" w:eastAsia="Consolas" w:hAnsi="Consolas"/>
          <w:sz w:val="22"/>
          <w:szCs w:val="22"/>
        </w:rPr>
        <w:t xml:space="preserve">tt-lang-t27</w:t>
      </w:r>
      <w:r>
        <w:rPr>
          <w:rFonts w:ascii="Times New Roman" w:cs="Times New Roman" w:eastAsia="Times New Roman" w:hAnsi="Times New Roman"/>
          <w:sz w:val="22"/>
          <w:szCs w:val="22"/>
        </w:rPr>
        <w:t xml:space="preserve"> начиная с версии v0.3.1.</w:t>
      </w:r>
    </w:p>
    <w:p>
      <w:pPr>
        <w:pStyle w:val="Heading2"/>
        <w:spacing w:after="110" w:before="220"/>
      </w:pPr>
      <w:r>
        <w:rPr>
          <w:rFonts w:ascii="Times New Roman" w:cs="Times New Roman" w:eastAsia="Times New Roman" w:hAnsi="Times New Roman"/>
          <w:b/>
          <w:bCs/>
          <w:color w:val="000000"/>
          <w:sz w:val="26"/>
          <w:szCs w:val="26"/>
        </w:rPr>
        <w:t xml:space="preserve">5.2. Элемент MXFP4 — OCP Microscaling 4-бит</w:t>
      </w:r>
    </w:p>
    <w:p>
      <w:pPr>
        <w:spacing w:after="120" w:line="360"/>
        <w:ind w:firstLine="283"/>
        <w:jc w:val="both"/>
      </w:pPr>
      <w:r>
        <w:rPr>
          <w:rFonts w:ascii="Times New Roman" w:cs="Times New Roman" w:eastAsia="Times New Roman" w:hAnsi="Times New Roman"/>
          <w:sz w:val="22"/>
          <w:szCs w:val="22"/>
        </w:rPr>
        <w:t xml:space="preserve">Элемент MXFP4 использует раскладку S1E2M1 (1 бит знака, 2 бита порядка, 1 бит мантиссы) с политикой переполнения «насыщение до конечного», как указано в OCP MX v1.0. В пределах блока 32 таких элемента разделяют масштабный множитель E8M0. Пакет элемента охватывает 12 векторов, выбранных из представимых конечных значений элемента, включая нуль и случай насыщения. На момент написания ml_dtypes не предоставляет тип элемента MXFP4; пакет верифицируется самопроверкой циклическим кодированием-декодированием и сравнивается с таблицей значений OCP MX v1.0. SHA-256: </w:t>
      </w:r>
      <w:r>
        <w:rPr>
          <w:rFonts w:ascii="Consolas" w:cs="Consolas" w:eastAsia="Consolas" w:hAnsi="Consolas"/>
          <w:sz w:val="18"/>
          <w:szCs w:val="18"/>
        </w:rPr>
        <w:t xml:space="preserve">86c99d6f72375d751df4c74897904a0a36cff52e8d60cbfef5d58b71625d4b2f</w:t>
      </w:r>
      <w:r>
        <w:rPr>
          <w:rFonts w:ascii="Times New Roman" w:cs="Times New Roman" w:eastAsia="Times New Roman" w:hAnsi="Times New Roman"/>
          <w:sz w:val="22"/>
          <w:szCs w:val="22"/>
        </w:rPr>
        <w:t xml:space="preserve">.</w:t>
      </w:r>
    </w:p>
    <w:p>
      <w:pPr>
        <w:pStyle w:val="Heading2"/>
        <w:spacing w:after="110" w:before="220"/>
      </w:pPr>
      <w:r>
        <w:rPr>
          <w:rFonts w:ascii="Times New Roman" w:cs="Times New Roman" w:eastAsia="Times New Roman" w:hAnsi="Times New Roman"/>
          <w:b/>
          <w:bCs/>
          <w:color w:val="000000"/>
          <w:sz w:val="26"/>
          <w:szCs w:val="26"/>
        </w:rPr>
        <w:t xml:space="preserve">5.3. BF16 — Brain Float 16</w:t>
      </w:r>
    </w:p>
    <w:p>
      <w:pPr>
        <w:spacing w:after="120" w:line="360"/>
        <w:ind w:firstLine="283"/>
        <w:jc w:val="both"/>
      </w:pPr>
      <w:r>
        <w:rPr>
          <w:rFonts w:ascii="Times New Roman" w:cs="Times New Roman" w:eastAsia="Times New Roman" w:hAnsi="Times New Roman"/>
          <w:sz w:val="22"/>
          <w:szCs w:val="22"/>
        </w:rPr>
        <w:t xml:space="preserve">BF16 использует раскладку S1E8M7 со смещением порядка = 127, округлением к ближайшему чётному (RTE) и обработкой бесконечности и NaN в стиле IEEE 754. Он занимает старшие 16 бит FP32-слова, так что преобразование в/из FP32 — это простое усечение (с округлением). Пакет содержит 21 вектор, включая:</w:t>
      </w:r>
    </w:p>
    <w:p>
      <w:pPr>
        <w:pStyle w:val="ListParagraph"/>
        <w:numPr>
          <w:ilvl w:val="0"/>
          <w:numId w:val="2"/>
        </w:numPr>
        <w:spacing w:after="80" w:line="276"/>
        <w:jc w:val="both"/>
      </w:pPr>
      <w:r>
        <w:rPr>
          <w:rFonts w:ascii="Times New Roman" w:cs="Times New Roman" w:eastAsia="Times New Roman" w:hAnsi="Times New Roman"/>
          <w:sz w:val="22"/>
          <w:szCs w:val="22"/>
        </w:rPr>
        <w:t xml:space="preserve">Положительный и отрицательный нуль</w:t>
      </w:r>
    </w:p>
    <w:p>
      <w:pPr>
        <w:pStyle w:val="ListParagraph"/>
        <w:numPr>
          <w:ilvl w:val="0"/>
          <w:numId w:val="2"/>
        </w:numPr>
        <w:spacing w:after="80" w:line="276"/>
        <w:jc w:val="both"/>
      </w:pPr>
      <w:r>
        <w:rPr>
          <w:rFonts w:ascii="Times New Roman" w:cs="Times New Roman" w:eastAsia="Times New Roman" w:hAnsi="Times New Roman"/>
          <w:sz w:val="22"/>
          <w:szCs w:val="22"/>
        </w:rPr>
        <w:t xml:space="preserve">Положительную и отрицательную бесконечность (сохраняются точно)</w:t>
      </w:r>
    </w:p>
    <w:p>
      <w:pPr>
        <w:pStyle w:val="ListParagraph"/>
        <w:numPr>
          <w:ilvl w:val="0"/>
          <w:numId w:val="2"/>
        </w:numPr>
        <w:spacing w:after="80" w:line="276"/>
        <w:jc w:val="both"/>
      </w:pPr>
      <w:r>
        <w:rPr>
          <w:rFonts w:ascii="Times New Roman" w:cs="Times New Roman" w:eastAsia="Times New Roman" w:hAnsi="Times New Roman"/>
          <w:sz w:val="22"/>
          <w:szCs w:val="22"/>
        </w:rPr>
        <w:t xml:space="preserve">Тихий NaN (сохраняется с полезной нагрузкой)</w:t>
      </w:r>
    </w:p>
    <w:p>
      <w:pPr>
        <w:pStyle w:val="ListParagraph"/>
        <w:numPr>
          <w:ilvl w:val="0"/>
          <w:numId w:val="2"/>
        </w:numPr>
        <w:spacing w:after="80" w:line="276"/>
        <w:jc w:val="both"/>
      </w:pPr>
      <w:r>
        <w:rPr>
          <w:rFonts w:ascii="Times New Roman" w:cs="Times New Roman" w:eastAsia="Times New Roman" w:hAnsi="Times New Roman"/>
          <w:sz w:val="22"/>
          <w:szCs w:val="22"/>
        </w:rPr>
        <w:t xml:space="preserve">Наименьшее положительное нормальное и субнормальное</w:t>
      </w:r>
    </w:p>
    <w:p>
      <w:pPr>
        <w:pStyle w:val="ListParagraph"/>
        <w:numPr>
          <w:ilvl w:val="0"/>
          <w:numId w:val="2"/>
        </w:numPr>
        <w:spacing w:after="80" w:line="276"/>
        <w:jc w:val="both"/>
      </w:pPr>
      <w:r>
        <w:rPr>
          <w:rFonts w:ascii="Times New Roman" w:cs="Times New Roman" w:eastAsia="Times New Roman" w:hAnsi="Times New Roman"/>
          <w:sz w:val="22"/>
          <w:szCs w:val="22"/>
        </w:rPr>
        <w:t xml:space="preserve">Наибольшее конечное BF16 (≈ 3,39 × 10³⁸)</w:t>
      </w:r>
    </w:p>
    <w:p>
      <w:pPr>
        <w:pStyle w:val="ListParagraph"/>
        <w:numPr>
          <w:ilvl w:val="0"/>
          <w:numId w:val="2"/>
        </w:numPr>
        <w:spacing w:after="80" w:line="276"/>
        <w:jc w:val="both"/>
      </w:pPr>
      <w:r>
        <w:rPr>
          <w:rFonts w:ascii="Times New Roman" w:cs="Times New Roman" w:eastAsia="Times New Roman" w:hAnsi="Times New Roman"/>
          <w:sz w:val="22"/>
          <w:szCs w:val="22"/>
        </w:rPr>
        <w:t xml:space="preserve">Два случая середины RTE (поведение округления к чётному)</w:t>
      </w:r>
    </w:p>
    <w:p>
      <w:pPr>
        <w:pStyle w:val="ListParagraph"/>
        <w:numPr>
          <w:ilvl w:val="0"/>
          <w:numId w:val="2"/>
        </w:numPr>
        <w:spacing w:after="80" w:line="276"/>
        <w:jc w:val="both"/>
      </w:pPr>
      <w:r>
        <w:rPr>
          <w:rFonts w:ascii="Times New Roman" w:cs="Times New Roman" w:eastAsia="Times New Roman" w:hAnsi="Times New Roman"/>
          <w:sz w:val="22"/>
          <w:szCs w:val="22"/>
        </w:rPr>
        <w:t xml:space="preserve">Переполнение FP32-максимума в BF16 +∞ (abs_error = +∞)</w:t>
      </w:r>
    </w:p>
    <w:p>
      <w:pPr>
        <w:pStyle w:val="ListParagraph"/>
        <w:numPr>
          <w:ilvl w:val="0"/>
          <w:numId w:val="2"/>
        </w:numPr>
        <w:spacing w:after="80" w:line="276"/>
        <w:jc w:val="both"/>
      </w:pPr>
      <w:r>
        <w:rPr>
          <w:rFonts w:ascii="Times New Roman" w:cs="Times New Roman" w:eastAsia="Times New Roman" w:hAnsi="Times New Roman"/>
          <w:sz w:val="22"/>
          <w:szCs w:val="22"/>
        </w:rPr>
        <w:t xml:space="preserve">Потеря значимости FP32-минимума-субнормали в BF16 +0</w:t>
      </w:r>
    </w:p>
    <w:p>
      <w:pPr>
        <w:pStyle w:val="ListParagraph"/>
        <w:numPr>
          <w:ilvl w:val="0"/>
          <w:numId w:val="2"/>
        </w:numPr>
        <w:spacing w:after="80" w:line="276"/>
        <w:jc w:val="both"/>
      </w:pPr>
      <w:r>
        <w:rPr>
          <w:rFonts w:ascii="Times New Roman" w:cs="Times New Roman" w:eastAsia="Times New Roman" w:hAnsi="Times New Roman"/>
          <w:sz w:val="22"/>
          <w:szCs w:val="22"/>
        </w:rPr>
        <w:t xml:space="preserve">Неточные константы φ и 1/φ с ненулевой abs_error</w:t>
      </w:r>
    </w:p>
    <w:p>
      <w:pPr>
        <w:pStyle w:val="ListParagraph"/>
        <w:numPr>
          <w:ilvl w:val="0"/>
          <w:numId w:val="2"/>
        </w:numPr>
        <w:spacing w:after="80" w:line="276"/>
        <w:jc w:val="both"/>
      </w:pPr>
      <w:r>
        <w:rPr>
          <w:rFonts w:ascii="Times New Roman" w:cs="Times New Roman" w:eastAsia="Times New Roman" w:hAnsi="Times New Roman"/>
          <w:sz w:val="22"/>
          <w:szCs w:val="22"/>
        </w:rPr>
        <w:t xml:space="preserve">Якорный вектор при 3,0 (точно, abs_error = 0)</w:t>
      </w:r>
    </w:p>
    <w:p>
      <w:pPr>
        <w:spacing w:after="120" w:line="360"/>
        <w:ind w:firstLine="283"/>
        <w:jc w:val="both"/>
      </w:pPr>
      <w:r>
        <w:rPr>
          <w:rFonts w:ascii="Times New Roman" w:cs="Times New Roman" w:eastAsia="Times New Roman" w:hAnsi="Times New Roman"/>
          <w:sz w:val="22"/>
          <w:szCs w:val="22"/>
        </w:rPr>
        <w:t xml:space="preserve">Все 21 вектор совпадают с </w:t>
      </w:r>
      <w:r>
        <w:rPr>
          <w:rFonts w:ascii="Consolas" w:cs="Consolas" w:eastAsia="Consolas" w:hAnsi="Consolas"/>
          <w:sz w:val="22"/>
          <w:szCs w:val="22"/>
        </w:rPr>
        <w:t xml:space="preserve">ml_dtypes.bfloat16</w:t>
      </w:r>
      <w:r>
        <w:rPr>
          <w:rFonts w:ascii="Times New Roman" w:cs="Times New Roman" w:eastAsia="Times New Roman" w:hAnsi="Times New Roman"/>
          <w:sz w:val="22"/>
          <w:szCs w:val="22"/>
        </w:rPr>
        <w:t xml:space="preserve"> (Google/JAX 0.5.4): 21/21. SHA-256: </w:t>
      </w:r>
      <w:r>
        <w:rPr>
          <w:rFonts w:ascii="Consolas" w:cs="Consolas" w:eastAsia="Consolas" w:hAnsi="Consolas"/>
          <w:sz w:val="18"/>
          <w:szCs w:val="18"/>
        </w:rPr>
        <w:t xml:space="preserve">320c1850b484674546785791b1c22d76feb4ea748c6669ffb633e5455d822b8a</w:t>
      </w:r>
      <w:r>
        <w:rPr>
          <w:rFonts w:ascii="Times New Roman" w:cs="Times New Roman" w:eastAsia="Times New Roman" w:hAnsi="Times New Roman"/>
          <w:sz w:val="22"/>
          <w:szCs w:val="22"/>
        </w:rPr>
        <w:t xml:space="preserve">.</w:t>
      </w:r>
    </w:p>
    <w:p>
      <w:pPr>
        <w:spacing w:after="120" w:line="360"/>
        <w:ind w:firstLine="283"/>
        <w:jc w:val="both"/>
      </w:pPr>
      <w:r>
        <w:rPr>
          <w:rFonts w:ascii="Times New Roman" w:cs="Times New Roman" w:eastAsia="Times New Roman" w:hAnsi="Times New Roman"/>
          <w:sz w:val="22"/>
          <w:szCs w:val="22"/>
        </w:rPr>
        <w:t xml:space="preserve">BF16 демонстрирует высокое межвендорное согласие; Google bfloat16, Intel BFLOAT16, ARM BFloat16 и BF16, сопряжённый с NVIDIA TF32, разделяют одну и ту же семантику sub/inf/NaN в стиле IEEE 754 с округлением к ближайшему чётному на младших 16 битах FP32. В 21 протестированном граничном случае заметных расхождений не наблюдалось.</w:t>
      </w:r>
    </w:p>
    <w:p>
      <w:pPr>
        <w:pStyle w:val="Heading2"/>
        <w:spacing w:after="110" w:before="220"/>
      </w:pPr>
      <w:r>
        <w:rPr>
          <w:rFonts w:ascii="Times New Roman" w:cs="Times New Roman" w:eastAsia="Times New Roman" w:hAnsi="Times New Roman"/>
          <w:b/>
          <w:bCs/>
          <w:color w:val="000000"/>
          <w:sz w:val="26"/>
          <w:szCs w:val="26"/>
        </w:rPr>
        <w:t xml:space="preserve">5.4. FP8 E4M3 — восьмибитный float с четырёхбитным порядком</w:t>
      </w:r>
    </w:p>
    <w:p>
      <w:pPr>
        <w:spacing w:after="120" w:line="360"/>
        <w:ind w:firstLine="283"/>
        <w:jc w:val="both"/>
      </w:pPr>
      <w:r>
        <w:rPr>
          <w:rFonts w:ascii="Times New Roman" w:cs="Times New Roman" w:eastAsia="Times New Roman" w:hAnsi="Times New Roman"/>
          <w:sz w:val="22"/>
          <w:szCs w:val="22"/>
        </w:rPr>
        <w:t xml:space="preserve">FP8 E4M3 использует раскладку S1E4M3 со смещением порядка = 7. В варианте OCP MX (используемом здесь) бесконечность заменена дополнительными конечными значениями, а NaN кодируется битовым паттерном </w:t>
      </w:r>
      <w:r>
        <w:rPr>
          <w:rFonts w:ascii="Consolas" w:cs="Consolas" w:eastAsia="Consolas" w:hAnsi="Consolas"/>
          <w:sz w:val="22"/>
          <w:szCs w:val="22"/>
        </w:rPr>
        <w:t xml:space="preserve">0x7F</w:t>
      </w:r>
      <w:r>
        <w:rPr>
          <w:rFonts w:ascii="Times New Roman" w:cs="Times New Roman" w:eastAsia="Times New Roman" w:hAnsi="Times New Roman"/>
          <w:sz w:val="22"/>
          <w:szCs w:val="22"/>
        </w:rPr>
        <w:t xml:space="preserve"> (или </w:t>
      </w:r>
      <w:r>
        <w:rPr>
          <w:rFonts w:ascii="Consolas" w:cs="Consolas" w:eastAsia="Consolas" w:hAnsi="Consolas"/>
          <w:sz w:val="22"/>
          <w:szCs w:val="22"/>
        </w:rPr>
        <w:t xml:space="preserve">0xFF</w:t>
      </w:r>
      <w:r>
        <w:rPr>
          <w:rFonts w:ascii="Times New Roman" w:cs="Times New Roman" w:eastAsia="Times New Roman" w:hAnsi="Times New Roman"/>
          <w:sz w:val="22"/>
          <w:szCs w:val="22"/>
        </w:rPr>
        <w:t xml:space="preserve"> для отрицательных). Таким образом, формат не имеет +∞, что даёт максимальное конечное значение 448,0.</w:t>
      </w:r>
    </w:p>
    <w:p>
      <w:pPr>
        <w:spacing w:after="120" w:line="360"/>
        <w:ind w:firstLine="283"/>
        <w:jc w:val="both"/>
      </w:pPr>
      <w:r>
        <w:rPr>
          <w:rFonts w:ascii="Times New Roman" w:cs="Times New Roman" w:eastAsia="Times New Roman" w:hAnsi="Times New Roman"/>
          <w:sz w:val="22"/>
          <w:szCs w:val="22"/>
        </w:rPr>
        <w:t xml:space="preserve">Пакет содержит 16 векторов. 15 из 16 точно совпадают с </w:t>
      </w:r>
      <w:r>
        <w:rPr>
          <w:rFonts w:ascii="Consolas" w:cs="Consolas" w:eastAsia="Consolas" w:hAnsi="Consolas"/>
          <w:sz w:val="22"/>
          <w:szCs w:val="22"/>
        </w:rPr>
        <w:t xml:space="preserve">ml_dtypes.float8_e4m3fn</w:t>
      </w:r>
      <w:r>
        <w:rPr>
          <w:rFonts w:ascii="Times New Roman" w:cs="Times New Roman" w:eastAsia="Times New Roman" w:hAnsi="Times New Roman"/>
          <w:sz w:val="22"/>
          <w:szCs w:val="22"/>
        </w:rPr>
        <w:t xml:space="preserve">. Единственное задокументированное расхождение — случай переполнения для входа 1000,0, подробно описанный в таблице 5 и обсуждаемый в разделе 7. SHA-256: </w:t>
      </w:r>
      <w:r>
        <w:rPr>
          <w:rFonts w:ascii="Consolas" w:cs="Consolas" w:eastAsia="Consolas" w:hAnsi="Consolas"/>
          <w:sz w:val="18"/>
          <w:szCs w:val="18"/>
        </w:rPr>
        <w:t xml:space="preserve">fff0c30f8e6bee22b1a7d0e0e1cff65edde9d2b17ebf97dba0539973f0a5e89d</w:t>
      </w:r>
      <w:r>
        <w:rPr>
          <w:rFonts w:ascii="Times New Roman" w:cs="Times New Roman" w:eastAsia="Times New Roman" w:hAnsi="Times New Roman"/>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100"/>
        <w:gridCol w:w="2030"/>
        <w:gridCol w:w="2030"/>
      </w:tblGrid>
      <w:tr>
        <w:trPr>
          <w:tblHeader/>
        </w:trPr>
        <w:tc>
          <w:tcPr>
            <w:tcW w:type="dxa" w:w="12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Вход</w:t>
            </w:r>
          </w:p>
        </w:tc>
        <w:tc>
          <w:tcPr>
            <w:tcW w:type="dxa" w:w="30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Реализация</w:t>
            </w:r>
          </w:p>
        </w:tc>
        <w:tc>
          <w:tcPr>
            <w:tcW w:type="dxa" w:w="11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Биты</w:t>
            </w:r>
          </w:p>
        </w:tc>
        <w:tc>
          <w:tcPr>
            <w:tcW w:type="dxa" w:w="203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Декодировано</w:t>
            </w:r>
          </w:p>
        </w:tc>
        <w:tc>
          <w:tcPr>
            <w:tcW w:type="dxa" w:w="203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Политика</w:t>
            </w:r>
          </w:p>
        </w:tc>
      </w:tr>
      <w:t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1000,0</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этот пакет (конвенция tt-metal/AMD)</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7"/>
                <w:szCs w:val="17"/>
              </w:rPr>
              <w:t xml:space="preserve">0x7E</w:t>
            </w:r>
          </w:p>
        </w:tc>
        <w:tc>
          <w:tcPr>
            <w:tcW w:type="dxa" w:w="20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448,0 (max-finite)</w:t>
            </w:r>
          </w:p>
        </w:tc>
        <w:tc>
          <w:tcPr>
            <w:tcW w:type="dxa" w:w="20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насыщение до максимума</w:t>
            </w:r>
          </w:p>
        </w:tc>
      </w:tr>
      <w:t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1000,0</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ml_dtypes 0.5.4 (конвенция JAX/TPU)</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7"/>
                <w:szCs w:val="17"/>
              </w:rPr>
              <w:t xml:space="preserve">0x7F</w:t>
            </w:r>
          </w:p>
        </w:tc>
        <w:tc>
          <w:tcPr>
            <w:tcW w:type="dxa" w:w="20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NaN</w:t>
            </w:r>
          </w:p>
        </w:tc>
        <w:tc>
          <w:tcPr>
            <w:tcW w:type="dxa" w:w="20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переполнение в NaN</w:t>
            </w:r>
          </w:p>
        </w:tc>
      </w:tr>
    </w:tbl>
    <w:p>
      <w:pPr>
        <w:spacing w:after="120" w:line="360"/>
        <w:ind w:firstLine="283"/>
        <w:jc w:val="both"/>
      </w:pPr>
      <w:r>
        <w:rPr>
          <w:rFonts w:ascii="Times New Roman" w:cs="Times New Roman" w:eastAsia="Times New Roman" w:hAnsi="Times New Roman"/>
          <w:i/>
          <w:iCs/>
          <w:sz w:val="18"/>
          <w:szCs w:val="18"/>
        </w:rPr>
        <w:t xml:space="preserve">Оба варианта разрешены OCP MX v1.0. См. раздел 7.</w:t>
      </w:r>
    </w:p>
    <w:p>
      <w:pPr>
        <w:spacing w:after="160" w:before="60"/>
        <w:jc w:val="center"/>
      </w:pPr>
      <w:r>
        <w:rPr>
          <w:rFonts w:ascii="Times New Roman" w:cs="Times New Roman" w:eastAsia="Times New Roman" w:hAnsi="Times New Roman"/>
          <w:i/>
          <w:iCs/>
          <w:sz w:val="20"/>
          <w:szCs w:val="20"/>
        </w:rPr>
        <w:t xml:space="preserve">Таблица 5. Интерпретационный разрыв при переполнении FP8 E4M3 для входа 1000,0 (T5).</w:t>
      </w:r>
    </w:p>
    <w:p>
      <w:pPr>
        <w:pStyle w:val="Heading2"/>
        <w:spacing w:after="110" w:before="220"/>
      </w:pPr>
      <w:r>
        <w:rPr>
          <w:rFonts w:ascii="Times New Roman" w:cs="Times New Roman" w:eastAsia="Times New Roman" w:hAnsi="Times New Roman"/>
          <w:b/>
          <w:bCs/>
          <w:color w:val="000000"/>
          <w:sz w:val="26"/>
          <w:szCs w:val="26"/>
        </w:rPr>
        <w:t xml:space="preserve">5.5. FP8 E5M2 — восьмибитный float с пятибитным порядком</w:t>
      </w:r>
    </w:p>
    <w:p>
      <w:pPr>
        <w:spacing w:after="120" w:line="360"/>
        <w:ind w:firstLine="283"/>
        <w:jc w:val="both"/>
      </w:pPr>
      <w:r>
        <w:rPr>
          <w:rFonts w:ascii="Times New Roman" w:cs="Times New Roman" w:eastAsia="Times New Roman" w:hAnsi="Times New Roman"/>
          <w:sz w:val="22"/>
          <w:szCs w:val="22"/>
        </w:rPr>
        <w:t xml:space="preserve">FP8 E5M2 использует раскладку S1E5M2 со смещением порядка = 15 и сохраняет полноценные бесконечность и NaN в стиле IEEE 754. Максимальное конечное значение — 57344,0. Пакет содержит 17 векторов, охватывающих полный набор граничных случаев (нуль, нормальные, субнормальные, ±∞, NaN, переполнение, потеря значимости, середины RTE и якорь 3,0). Все 17 векторов точно совпадают с </w:t>
      </w:r>
      <w:r>
        <w:rPr>
          <w:rFonts w:ascii="Consolas" w:cs="Consolas" w:eastAsia="Consolas" w:hAnsi="Consolas"/>
          <w:sz w:val="22"/>
          <w:szCs w:val="22"/>
        </w:rPr>
        <w:t xml:space="preserve">ml_dtypes.float8_e5m2</w:t>
      </w:r>
      <w:r>
        <w:rPr>
          <w:rFonts w:ascii="Times New Roman" w:cs="Times New Roman" w:eastAsia="Times New Roman" w:hAnsi="Times New Roman"/>
          <w:sz w:val="22"/>
          <w:szCs w:val="22"/>
        </w:rPr>
        <w:t xml:space="preserve">: 17/17. SHA-256: </w:t>
      </w:r>
      <w:r>
        <w:rPr>
          <w:rFonts w:ascii="Consolas" w:cs="Consolas" w:eastAsia="Consolas" w:hAnsi="Consolas"/>
          <w:sz w:val="18"/>
          <w:szCs w:val="18"/>
        </w:rPr>
        <w:t xml:space="preserve">66cd7be1500ec8003eb5dee7532bb4e954b7bc0084b6f22a75d02f7842f23a56</w:t>
      </w:r>
      <w:r>
        <w:rPr>
          <w:rFonts w:ascii="Times New Roman" w:cs="Times New Roman" w:eastAsia="Times New Roman" w:hAnsi="Times New Roman"/>
          <w:sz w:val="22"/>
          <w:szCs w:val="22"/>
        </w:rPr>
        <w:t xml:space="preserve">.</w:t>
      </w:r>
    </w:p>
    <w:p>
      <w:pPr>
        <w:pStyle w:val="Heading2"/>
        <w:spacing w:after="110" w:before="220"/>
      </w:pPr>
      <w:r>
        <w:rPr>
          <w:rFonts w:ascii="Times New Roman" w:cs="Times New Roman" w:eastAsia="Times New Roman" w:hAnsi="Times New Roman"/>
          <w:b/>
          <w:bCs/>
          <w:color w:val="000000"/>
          <w:sz w:val="26"/>
          <w:szCs w:val="26"/>
        </w:rPr>
        <w:t xml:space="preserve">5.6. Блочный масштаб E8M0 — масштабный формат OCP Microscaling</w:t>
      </w:r>
    </w:p>
    <w:p>
      <w:pPr>
        <w:spacing w:after="120" w:line="360"/>
        <w:ind w:firstLine="283"/>
        <w:jc w:val="both"/>
      </w:pPr>
      <w:r>
        <w:rPr>
          <w:rFonts w:ascii="Times New Roman" w:cs="Times New Roman" w:eastAsia="Times New Roman" w:hAnsi="Times New Roman"/>
          <w:sz w:val="22"/>
          <w:szCs w:val="22"/>
        </w:rPr>
        <w:t xml:space="preserve">E8M0 — формат «только масштаб», используемый как общий блочный порядок в блоках OCP MX. Он не несёт ни бита знака, ни мантиссы — только 8 бит порядка, представляющих степени 2 в диапазоне [2⁻¹²⁷, 2¹²⁷]. Специальный паттерн </w:t>
      </w:r>
      <w:r>
        <w:rPr>
          <w:rFonts w:ascii="Consolas" w:cs="Consolas" w:eastAsia="Consolas" w:hAnsi="Consolas"/>
          <w:sz w:val="22"/>
          <w:szCs w:val="22"/>
        </w:rPr>
        <w:t xml:space="preserve">0xFF</w:t>
      </w:r>
      <w:r>
        <w:rPr>
          <w:rFonts w:ascii="Times New Roman" w:cs="Times New Roman" w:eastAsia="Times New Roman" w:hAnsi="Times New Roman"/>
          <w:sz w:val="22"/>
          <w:szCs w:val="22"/>
        </w:rPr>
        <w:t xml:space="preserve"> кодирует NaN (используется для обозначения неинициализированного или недопустимого масштаба). Пакет содержит 11 векторов, охватывающих представительные значения масштаба, сторожевое значение NaN и якорь 3,0 (который кодируется в ближайший представимый масштаб-степень-двойки, 2¹ = 2, с задокументированной ненулевой abs_error). Векторы были перегенерированы относительно </w:t>
      </w:r>
      <w:r>
        <w:rPr>
          <w:rFonts w:ascii="Consolas" w:cs="Consolas" w:eastAsia="Consolas" w:hAnsi="Consolas"/>
          <w:sz w:val="22"/>
          <w:szCs w:val="22"/>
        </w:rPr>
        <w:t xml:space="preserve">ml_dtypes.float8_e8m0fnu</w:t>
      </w:r>
      <w:r>
        <w:rPr>
          <w:rFonts w:ascii="Times New Roman" w:cs="Times New Roman" w:eastAsia="Times New Roman" w:hAnsi="Times New Roman"/>
          <w:sz w:val="22"/>
          <w:szCs w:val="22"/>
        </w:rPr>
        <w:t xml:space="preserve"> (Google/JAX 0.5.4) по семантике OCP MX v1.0. SHA-256: </w:t>
      </w:r>
      <w:r>
        <w:rPr>
          <w:rFonts w:ascii="Consolas" w:cs="Consolas" w:eastAsia="Consolas" w:hAnsi="Consolas"/>
          <w:sz w:val="18"/>
          <w:szCs w:val="18"/>
        </w:rPr>
        <w:t xml:space="preserve">b211f1a863f71fd7c5e02e512efff0255ebcc51521311186e01cb9992e4464bd</w:t>
      </w:r>
      <w:r>
        <w:rPr>
          <w:rFonts w:ascii="Times New Roman" w:cs="Times New Roman" w:eastAsia="Times New Roman" w:hAnsi="Times New Roman"/>
          <w:sz w:val="22"/>
          <w:szCs w:val="22"/>
        </w:rPr>
        <w:t xml:space="preserve">.</w:t>
      </w:r>
    </w:p>
    <w:p>
      <w:pPr>
        <w:pStyle w:val="Heading1"/>
        <w:spacing w:after="140" w:before="280"/>
      </w:pPr>
      <w:r>
        <w:rPr>
          <w:rFonts w:ascii="Times New Roman" w:cs="Times New Roman" w:eastAsia="Times New Roman" w:hAnsi="Times New Roman"/>
          <w:b/>
          <w:bCs/>
          <w:color w:val="000000"/>
          <w:sz w:val="30"/>
          <w:szCs w:val="30"/>
        </w:rPr>
        <w:t xml:space="preserve">6. Кросс-уолк к IEEE P3109</w:t>
      </w:r>
    </w:p>
    <w:p>
      <w:pPr>
        <w:spacing w:after="120" w:line="360"/>
        <w:ind w:firstLine="283"/>
        <w:jc w:val="both"/>
      </w:pPr>
      <w:r>
        <w:rPr>
          <w:rFonts w:ascii="Times New Roman" w:cs="Times New Roman" w:eastAsia="Times New Roman" w:hAnsi="Times New Roman"/>
          <w:sz w:val="22"/>
          <w:szCs w:val="22"/>
        </w:rPr>
        <w:t xml:space="preserve">IEEE P3109 — активная рабочая группа, стандартизирующая арифметику с плавающей точкой для приложений ИИ. Её промежуточный отчёт v3.2.0 определяет семейство конфигурируемых форматов, параметризованных тройкой (E, M, насыщение). Более широкое обоснование явного побитового тестирования соответствия в промышленной практике с плавающей точкой приводит Винтерстайгер (Wintersteiger) на ARITH 2025; пакеты в этой статье — конкретный пример такого подхода, нацеленный именно на реестр численных форматов ИИ. Там, где существует машинно-проверяемая семантика, например разработка P3109 FLoPS на Lean 4, кросс-уолк в таблице 6 служит мостом между доказательно проверенной спецификацией и битоточными тестовыми данными.</w:t>
      </w:r>
    </w:p>
    <w:p>
      <w:pPr>
        <w:spacing w:after="120" w:line="360"/>
        <w:ind w:firstLine="283"/>
        <w:jc w:val="both"/>
      </w:pPr>
      <w:r>
        <w:rPr>
          <w:rFonts w:ascii="Times New Roman" w:cs="Times New Roman" w:eastAsia="Times New Roman" w:hAnsi="Times New Roman"/>
          <w:b/>
          <w:bCs/>
          <w:sz w:val="22"/>
          <w:szCs w:val="22"/>
        </w:rPr>
        <w:t xml:space="preserve">Отсутствие официальных reference-векторов P3109 до 2027 г. — окно для аудируемого кандидата. </w:t>
      </w:r>
      <w:r>
        <w:rPr>
          <w:rFonts w:ascii="Times New Roman" w:cs="Times New Roman" w:eastAsia="Times New Roman" w:hAnsi="Times New Roman"/>
          <w:sz w:val="22"/>
          <w:szCs w:val="22"/>
        </w:rPr>
        <w:t xml:space="preserve">К середине 2026 г. у грядущего стандарта IEEE P3109 пока нет официального, привязанного к финальному тексту набора эталонных (reference) векторов соответствия. Главный редактор рабочей группы (Jeffrey Sarnoff, презентация июня 2026 г.) прямо констатирует, что референсные реализации существуют лишь «внутри» у отдельных участников и не могут быть предоставлены как официальный эталон, пока стандарт не утверждён («nobody can provide them as a reference implementation»). Срок действия PAR продлён, стандарт не финализирован до конца 2027 г. (IEEE NesCom, 18.06.2025). Это не означает отсутствия любого материала: существуют Lean-формализация FLoPS и параметрические реализации, но не вендор-нейтральный широкоохватный набор с аппаратным witness. </w:t>
      </w:r>
    </w:p>
    <w:p>
      <w:pPr>
        <w:spacing w:after="120" w:line="360"/>
        <w:ind w:firstLine="283"/>
        <w:jc w:val="both"/>
      </w:pPr>
      <w:r>
        <w:rPr>
          <w:rFonts w:ascii="Times New Roman" w:cs="Times New Roman" w:eastAsia="Times New Roman" w:hAnsi="Times New Roman"/>
          <w:b/>
          <w:bCs/>
          <w:sz w:val="22"/>
          <w:szCs w:val="22"/>
        </w:rPr>
        <w:t xml:space="preserve">Позиция Trinity (аудируемый кандидат, НЕ официальный эталон). </w:t>
      </w:r>
      <w:r>
        <w:rPr>
          <w:rFonts w:ascii="Times New Roman" w:cs="Times New Roman" w:eastAsia="Times New Roman" w:hAnsi="Times New Roman"/>
          <w:sz w:val="22"/>
          <w:szCs w:val="22"/>
        </w:rPr>
        <w:t xml:space="preserve">Набор пакетов этой работы обозначается как </w:t>
      </w:r>
      <w:r>
        <w:rPr>
          <w:rFonts w:ascii="Times New Roman" w:cs="Times New Roman" w:eastAsia="Times New Roman" w:hAnsi="Times New Roman"/>
          <w:b/>
          <w:bCs/>
          <w:sz w:val="22"/>
          <w:szCs w:val="22"/>
        </w:rPr>
        <w:t xml:space="preserve">«Trinity Golden Vectors» / «Золотые векторы Trinity» (TGV)</w:t>
      </w:r>
      <w:r>
        <w:rPr>
          <w:rFonts w:ascii="Times New Roman" w:cs="Times New Roman" w:eastAsia="Times New Roman" w:hAnsi="Times New Roman"/>
          <w:sz w:val="22"/>
          <w:szCs w:val="22"/>
        </w:rPr>
        <w:t xml:space="preserve"> — по устоявшемуся инженерному термину golden reference vectors из аппаратной верификации (DO-254 и практика ASIC-QA). Сами векторы порождаются и перепроверяются инструментом-оракулом </w:t>
      </w:r>
      <w:r>
        <w:rPr>
          <w:rFonts w:ascii="Times New Roman" w:cs="Times New Roman" w:eastAsia="Times New Roman" w:hAnsi="Times New Roman"/>
          <w:b/>
          <w:bCs/>
          <w:sz w:val="22"/>
          <w:szCs w:val="22"/>
        </w:rPr>
        <w:t xml:space="preserve">«Trinity Golden Oracle» (TGO)</w:t>
      </w:r>
      <w:r>
        <w:rPr>
          <w:rFonts w:ascii="Times New Roman" w:cs="Times New Roman" w:eastAsia="Times New Roman" w:hAnsi="Times New Roman"/>
          <w:sz w:val="22"/>
          <w:szCs w:val="22"/>
        </w:rPr>
        <w:t xml:space="preserve"> — эталонной («золотой») моделью-оракулом: в нашем случае это Corona-оракул в связке со вторым независимым свидетелем (ml_dtypes). То есть TGV — это продукт (набор векторов), а TGO — инструмент, их порождающий и заверяющий. TGV заполняет описанный пробел реестра </w:t>
      </w:r>
      <w:r>
        <w:rPr>
          <w:rFonts w:ascii="Times New Roman" w:cs="Times New Roman" w:eastAsia="Times New Roman" w:hAnsi="Times New Roman"/>
          <w:b/>
          <w:bCs/>
          <w:sz w:val="22"/>
          <w:szCs w:val="22"/>
        </w:rPr>
        <w:t xml:space="preserve">как открытый, независимый, аудируемый кандидат-эталон</w:t>
      </w:r>
      <w:r>
        <w:rPr>
          <w:rFonts w:ascii="Times New Roman" w:cs="Times New Roman" w:eastAsia="Times New Roman" w:hAnsi="Times New Roman"/>
          <w:sz w:val="22"/>
          <w:szCs w:val="22"/>
        </w:rPr>
        <w:t xml:space="preserve">, а не как «официальный» или «единственный». Квалификатор «Trinity» вводится сознательно: сами термины «golden vectors» / «golden oracle» — родовые и уже используются в отрасли, поэтому Trinity претендует не на термин, а на конкретный воспроизводимый артефакт. Заявление формулируется без превосходства над P3109 или вендорами: TGV — другой класс артефакта, временно заполняющий вакуум до появления официальных векторов P3109.</w:t>
      </w:r>
    </w:p>
    <w:p>
      <w:pPr>
        <w:spacing w:after="120" w:line="360"/>
        <w:ind w:firstLine="283"/>
        <w:jc w:val="both"/>
      </w:pPr>
      <w:r>
        <w:rPr>
          <w:rFonts w:ascii="Times New Roman" w:cs="Times New Roman" w:eastAsia="Times New Roman" w:hAnsi="Times New Roman"/>
          <w:sz w:val="22"/>
          <w:szCs w:val="22"/>
        </w:rPr>
        <w:t xml:space="preserve">Таблица 6 сопоставляет шесть пакетов с конфигурируемыми форматами P3109 v3.2.0.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300"/>
        <w:gridCol w:w="3360"/>
        <w:gridCol w:w="1800"/>
      </w:tblGrid>
      <w:tr>
        <w:trPr>
          <w:tblHeader/>
        </w:trPr>
        <w:tc>
          <w:tcPr>
            <w:tcW w:type="dxa" w:w="14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8"/>
                <w:szCs w:val="18"/>
              </w:rPr>
              <w:t xml:space="preserve">Наш формат</w:t>
            </w:r>
          </w:p>
        </w:tc>
        <w:tc>
          <w:tcPr>
            <w:tcW w:type="dxa" w:w="15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8"/>
                <w:szCs w:val="18"/>
              </w:rPr>
              <w:t xml:space="preserve">Имя P3109</w:t>
            </w:r>
          </w:p>
        </w:tc>
        <w:tc>
          <w:tcPr>
            <w:tcW w:type="dxa" w:w="13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8"/>
                <w:szCs w:val="18"/>
              </w:rPr>
              <w:t xml:space="preserve">Совпадение</w:t>
            </w:r>
          </w:p>
        </w:tc>
        <w:tc>
          <w:tcPr>
            <w:tcW w:type="dxa" w:w="336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8"/>
                <w:szCs w:val="18"/>
              </w:rPr>
              <w:t xml:space="preserve">Ключевое различие</w:t>
            </w:r>
          </w:p>
        </w:tc>
        <w:tc>
          <w:tcPr>
            <w:tcW w:type="dxa" w:w="18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8"/>
                <w:szCs w:val="18"/>
              </w:rPr>
              <w:t xml:space="preserve">Пакет</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FP8 E4M3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Binary8p3se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Близкое</w:t>
            </w:r>
          </w:p>
        </w:tc>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Насыщение: у нас SatMax против OvfInf в P3109; кодирование NaN только конечными</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6"/>
                <w:szCs w:val="16"/>
              </w:rPr>
              <w:t xml:space="preserve">fp8_e4m3</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MXFP4 элемент</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Binary4p1sf</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Прямое</w:t>
            </w:r>
          </w:p>
        </w:tc>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Блочная структура ортогональна; элемент совпадает</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6"/>
                <w:szCs w:val="16"/>
              </w:rPr>
              <w:t xml:space="preserve">mxfp4</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GF16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(нет)</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Нет совпадения</w:t>
            </w:r>
          </w:p>
        </w:tc>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P3109 не охватывает 16-битные форматы с привязкой к φ</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6"/>
                <w:szCs w:val="16"/>
              </w:rPr>
              <w:t xml:space="preserve">gf16</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BF16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(нет)</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Нет совпадения</w:t>
            </w:r>
          </w:p>
        </w:tc>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P3109 фокусируется на 4/8-битных; BF16 — 16-битный</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6"/>
                <w:szCs w:val="16"/>
              </w:rPr>
              <w:t xml:space="preserve">bf16</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FP8 E5M2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(нет)</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Нет совпадения</w:t>
            </w:r>
          </w:p>
        </w:tc>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Binary8p2se соответствовал бы, но отсутствует в v3.2.0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6"/>
                <w:szCs w:val="16"/>
              </w:rPr>
              <w:t xml:space="preserve">fp8_e5m2</w:t>
            </w:r>
          </w:p>
        </w:tc>
      </w:tr>
      <w:t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E8M0 block</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(нет)</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Ортогонально</w:t>
            </w:r>
          </w:p>
        </w:tc>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8"/>
                <w:szCs w:val="18"/>
              </w:rPr>
              <w:t xml:space="preserve">P3109 не определяет формат «только масштаб»</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6"/>
                <w:szCs w:val="16"/>
              </w:rPr>
              <w:t xml:space="preserve">e8m0_block</w:t>
            </w:r>
          </w:p>
        </w:tc>
      </w:tr>
    </w:tbl>
    <w:p>
      <w:pPr>
        <w:spacing w:after="160" w:before="60"/>
        <w:jc w:val="center"/>
      </w:pPr>
      <w:r>
        <w:rPr>
          <w:rFonts w:ascii="Times New Roman" w:cs="Times New Roman" w:eastAsia="Times New Roman" w:hAnsi="Times New Roman"/>
          <w:i/>
          <w:iCs/>
          <w:sz w:val="20"/>
          <w:szCs w:val="20"/>
        </w:rPr>
        <w:t xml:space="preserve">Таблица 6. Кросс-уолк P3109 v3.2.0 для шести пакетов (T6).</w:t>
      </w:r>
    </w:p>
    <w:p>
      <w:pPr>
        <w:pStyle w:val="Heading2"/>
        <w:spacing w:after="110" w:before="220"/>
      </w:pPr>
      <w:r>
        <w:rPr>
          <w:rFonts w:ascii="Times New Roman" w:cs="Times New Roman" w:eastAsia="Times New Roman" w:hAnsi="Times New Roman"/>
          <w:b/>
          <w:bCs/>
          <w:color w:val="000000"/>
          <w:sz w:val="26"/>
          <w:szCs w:val="26"/>
        </w:rPr>
        <w:t xml:space="preserve">6.1. Прямые совпадения</w:t>
      </w:r>
    </w:p>
    <w:p>
      <w:pPr>
        <w:spacing w:after="120" w:line="360"/>
        <w:ind w:firstLine="283"/>
        <w:jc w:val="both"/>
      </w:pPr>
      <w:r>
        <w:rPr>
          <w:rFonts w:ascii="Times New Roman" w:cs="Times New Roman" w:eastAsia="Times New Roman" w:hAnsi="Times New Roman"/>
          <w:b/>
          <w:bCs/>
          <w:sz w:val="22"/>
          <w:szCs w:val="22"/>
        </w:rPr>
        <w:t xml:space="preserve">Binary8p3se ↔ FP8 E4M3. </w:t>
      </w:r>
      <w:r>
        <w:rPr>
          <w:rFonts w:ascii="Times New Roman" w:cs="Times New Roman" w:eastAsia="Times New Roman" w:hAnsi="Times New Roman"/>
          <w:sz w:val="22"/>
          <w:szCs w:val="22"/>
        </w:rPr>
        <w:t xml:space="preserve">P3109 Binary8p3se специфицирует S1E4M3 с насыщением OvfInf. Вариант FP8 E4M3 из OCP MX v1.0, используемый в этом пакете, применяет вместо этого SatMax. Различие — ровно тот интерпретационный разрыв при переполнении, что задокументирован в таблице 5. За исключением выбора политики насыщения, битовые раскладки и смещение порядка идентичны.</w:t>
      </w:r>
    </w:p>
    <w:p>
      <w:pPr>
        <w:spacing w:after="120" w:line="360"/>
        <w:ind w:firstLine="283"/>
        <w:jc w:val="both"/>
      </w:pPr>
      <w:r>
        <w:rPr>
          <w:rFonts w:ascii="Times New Roman" w:cs="Times New Roman" w:eastAsia="Times New Roman" w:hAnsi="Times New Roman"/>
          <w:b/>
          <w:bCs/>
          <w:sz w:val="22"/>
          <w:szCs w:val="22"/>
        </w:rPr>
        <w:t xml:space="preserve">Binary4p1sf ↔ MXFP4 элемент. </w:t>
      </w:r>
      <w:r>
        <w:rPr>
          <w:rFonts w:ascii="Times New Roman" w:cs="Times New Roman" w:eastAsia="Times New Roman" w:hAnsi="Times New Roman"/>
          <w:sz w:val="22"/>
          <w:szCs w:val="22"/>
        </w:rPr>
        <w:t xml:space="preserve">P3109 Binary4p1sf специфицирует S1E2M1 с SatFinite — идентично раскладке элемента MXFP4 в OCP MX v1.0. Единственное структурное различие в том, что OCP MX оборачивает элементы в 32-элементные блоки, разделяющие масштабный множитель E8M0 — блочное измерение, которое P3109 не рассматривает в v3.2.0.</w:t>
      </w:r>
    </w:p>
    <w:p>
      <w:pPr>
        <w:pStyle w:val="Heading2"/>
        <w:spacing w:after="110" w:before="220"/>
      </w:pPr>
      <w:r>
        <w:rPr>
          <w:rFonts w:ascii="Times New Roman" w:cs="Times New Roman" w:eastAsia="Times New Roman" w:hAnsi="Times New Roman"/>
          <w:b/>
          <w:bCs/>
          <w:color w:val="000000"/>
          <w:sz w:val="26"/>
          <w:szCs w:val="26"/>
        </w:rPr>
        <w:t xml:space="preserve">6.2. Частичные совпадения и несовпадения</w:t>
      </w:r>
    </w:p>
    <w:p>
      <w:pPr>
        <w:spacing w:after="120" w:line="360"/>
        <w:ind w:firstLine="283"/>
        <w:jc w:val="both"/>
      </w:pPr>
      <w:r>
        <w:rPr>
          <w:rFonts w:ascii="Times New Roman" w:cs="Times New Roman" w:eastAsia="Times New Roman" w:hAnsi="Times New Roman"/>
          <w:sz w:val="22"/>
          <w:szCs w:val="22"/>
        </w:rPr>
        <w:t xml:space="preserve">FP8 E5M2 отображался бы в гипотетический Binary8p2se, который отсутствует в профилях P3109 v3.2.0. GF16 и BF16 находятся вне 4/8-битной области, которую P3109 в настоящее время охватывает. E8M0 — формат «только масштаб», ортогональный уровню представления P3109.</w:t>
      </w:r>
    </w:p>
    <w:p>
      <w:pPr>
        <w:pStyle w:val="Heading2"/>
        <w:spacing w:after="110" w:before="220"/>
      </w:pPr>
      <w:r>
        <w:rPr>
          <w:rFonts w:ascii="Times New Roman" w:cs="Times New Roman" w:eastAsia="Times New Roman" w:hAnsi="Times New Roman"/>
          <w:b/>
          <w:bCs/>
          <w:color w:val="000000"/>
          <w:sz w:val="26"/>
          <w:szCs w:val="26"/>
        </w:rPr>
        <w:t xml:space="preserve">6.3. Охват операций</w:t>
      </w:r>
    </w:p>
    <w:p>
      <w:pPr>
        <w:spacing w:after="120" w:line="360"/>
        <w:ind w:firstLine="283"/>
        <w:jc w:val="both"/>
      </w:pPr>
      <w:r>
        <w:rPr>
          <w:rFonts w:ascii="Times New Roman" w:cs="Times New Roman" w:eastAsia="Times New Roman" w:hAnsi="Times New Roman"/>
          <w:sz w:val="22"/>
          <w:szCs w:val="22"/>
        </w:rPr>
        <w:t xml:space="preserve">Файл </w:t>
      </w:r>
      <w:r>
        <w:rPr>
          <w:rFonts w:ascii="Consolas" w:cs="Consolas" w:eastAsia="Consolas" w:hAnsi="Consolas"/>
          <w:sz w:val="22"/>
          <w:szCs w:val="22"/>
        </w:rPr>
        <w:t xml:space="preserve">StandardOperations.yaml</w:t>
      </w:r>
      <w:r>
        <w:rPr>
          <w:rFonts w:ascii="Times New Roman" w:cs="Times New Roman" w:eastAsia="Times New Roman" w:hAnsi="Times New Roman"/>
          <w:sz w:val="22"/>
          <w:szCs w:val="22"/>
        </w:rPr>
        <w:t xml:space="preserve"> стандарта P3109 перечисляет приблизительно 80 операций в семи категориях: классификация (8), сравнение (7), экстремумы (10+), округление проекцией (6 режимов), арифметика (10), трансцендентные функции (≈25) и блочные операции (40+).</w:t>
      </w:r>
    </w:p>
    <w:p>
      <w:pPr>
        <w:spacing w:after="120" w:line="360"/>
        <w:ind w:firstLine="283"/>
        <w:jc w:val="both"/>
      </w:pPr>
      <w:r>
        <w:rPr>
          <w:rFonts w:ascii="Times New Roman" w:cs="Times New Roman" w:eastAsia="Times New Roman" w:hAnsi="Times New Roman"/>
          <w:sz w:val="22"/>
          <w:szCs w:val="22"/>
        </w:rPr>
        <w:t xml:space="preserve">Текущий набор (v0.1) охватывает только уровень представления — битоточность кодирования/декодирования. Трек 2 (целевой срок III кв. 2026) расширит охват до уровня операций, как минимум округление NearestTiesToEven для сложения, умножения и FMA по всем шести форматам, с доказательно проверенной семантикой, взятой из P3109 FLoPS в качестве формального якоря.</w:t>
      </w:r>
    </w:p>
    <w:p>
      <w:pPr>
        <w:pStyle w:val="Heading1"/>
        <w:spacing w:after="140" w:before="280"/>
      </w:pPr>
      <w:r>
        <w:rPr>
          <w:rFonts w:ascii="Times New Roman" w:cs="Times New Roman" w:eastAsia="Times New Roman" w:hAnsi="Times New Roman"/>
          <w:b/>
          <w:bCs/>
          <w:color w:val="000000"/>
          <w:sz w:val="30"/>
          <w:szCs w:val="30"/>
        </w:rPr>
        <w:t xml:space="preserve">7. Обсуждение: интерпретационный разрыв как ценность линейки</w:t>
      </w:r>
    </w:p>
    <w:p>
      <w:pPr>
        <w:spacing w:after="120" w:line="360"/>
        <w:ind w:firstLine="283"/>
        <w:jc w:val="both"/>
      </w:pPr>
      <w:r>
        <w:rPr>
          <w:rFonts w:ascii="Times New Roman" w:cs="Times New Roman" w:eastAsia="Times New Roman" w:hAnsi="Times New Roman"/>
          <w:sz w:val="22"/>
          <w:szCs w:val="22"/>
        </w:rPr>
        <w:t xml:space="preserve">Набор тестов соответствия оправдывает себя не тогда, когда все векторы совпадают, а когда он вскрывает расхождение, которое иначе было бы невидимым. Два таких случая заслуживают явного упоминания: разрыв при переполнении FP8 E4M3 (раздел 7.1) и разрыв блочной структуры между MXFP4 и NVFP4 (раздел 7.2).</w:t>
      </w:r>
    </w:p>
    <w:p>
      <w:pPr>
        <w:pStyle w:val="Heading2"/>
        <w:spacing w:after="110" w:before="220"/>
      </w:pPr>
      <w:r>
        <w:rPr>
          <w:rFonts w:ascii="Times New Roman" w:cs="Times New Roman" w:eastAsia="Times New Roman" w:hAnsi="Times New Roman"/>
          <w:b/>
          <w:bCs/>
          <w:color w:val="000000"/>
          <w:sz w:val="26"/>
          <w:szCs w:val="26"/>
        </w:rPr>
        <w:t xml:space="preserve">7.1. Разрыв A: политика переполнения FP8 E4M3</w:t>
      </w:r>
    </w:p>
    <w:p>
      <w:pPr>
        <w:spacing w:after="120" w:line="360"/>
        <w:ind w:firstLine="283"/>
        <w:jc w:val="both"/>
      </w:pPr>
      <w:r>
        <w:rPr>
          <w:rFonts w:ascii="Times New Roman" w:cs="Times New Roman" w:eastAsia="Times New Roman" w:hAnsi="Times New Roman"/>
          <w:sz w:val="22"/>
          <w:szCs w:val="22"/>
        </w:rPr>
        <w:t xml:space="preserve">Случай переполнения FP8 E4M3 (вход = 1000,0) — канонический пример.</w:t>
      </w:r>
    </w:p>
    <w:p>
      <w:pPr>
        <w:spacing w:after="120" w:line="360"/>
        <w:ind w:firstLine="283"/>
        <w:jc w:val="both"/>
      </w:pPr>
      <w:r>
        <w:rPr>
          <w:rFonts w:ascii="Times New Roman" w:cs="Times New Roman" w:eastAsia="Times New Roman" w:hAnsi="Times New Roman"/>
          <w:sz w:val="22"/>
          <w:szCs w:val="22"/>
        </w:rPr>
        <w:t xml:space="preserve">Спецификация OCP MX v1.0 утверждает, что для входов, превышающих максимальное конечное значение (448,0 для E4M3), реализации могут либо насыщаться до максимального конечного, либо выдавать NaN. Две зрелые реализации промышленного качества делают разный выбор:</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Конвенция tt-metal (Tenstorrent) / AMD: </w:t>
      </w:r>
      <w:r>
        <w:rPr>
          <w:rFonts w:ascii="Times New Roman" w:cs="Times New Roman" w:eastAsia="Times New Roman" w:hAnsi="Times New Roman"/>
          <w:sz w:val="22"/>
          <w:szCs w:val="22"/>
        </w:rPr>
        <w:t xml:space="preserve">насыщение до максимального конечного. Битовый паттерн </w:t>
      </w:r>
      <w:r>
        <w:rPr>
          <w:rFonts w:ascii="Consolas" w:cs="Consolas" w:eastAsia="Consolas" w:hAnsi="Consolas"/>
          <w:sz w:val="22"/>
          <w:szCs w:val="22"/>
        </w:rPr>
        <w:t xml:space="preserve">0x7E</w:t>
      </w:r>
      <w:r>
        <w:rPr>
          <w:rFonts w:ascii="Times New Roman" w:cs="Times New Roman" w:eastAsia="Times New Roman" w:hAnsi="Times New Roman"/>
          <w:sz w:val="22"/>
          <w:szCs w:val="22"/>
        </w:rPr>
        <w:t xml:space="preserve">, декодированное значение 448,0. Этот пакет принимает данную конвенцию.</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Конвенция JAX/TPU (ml_dtypes 0.5.4): </w:t>
      </w:r>
      <w:r>
        <w:rPr>
          <w:rFonts w:ascii="Times New Roman" w:cs="Times New Roman" w:eastAsia="Times New Roman" w:hAnsi="Times New Roman"/>
          <w:sz w:val="22"/>
          <w:szCs w:val="22"/>
        </w:rPr>
        <w:t xml:space="preserve">переполнение в NaN. Битовый паттерн </w:t>
      </w:r>
      <w:r>
        <w:rPr>
          <w:rFonts w:ascii="Consolas" w:cs="Consolas" w:eastAsia="Consolas" w:hAnsi="Consolas"/>
          <w:sz w:val="22"/>
          <w:szCs w:val="22"/>
        </w:rPr>
        <w:t xml:space="preserve">0x7F</w:t>
      </w:r>
      <w:r>
        <w:rPr>
          <w:rFonts w:ascii="Times New Roman" w:cs="Times New Roman" w:eastAsia="Times New Roman" w:hAnsi="Times New Roman"/>
          <w:sz w:val="22"/>
          <w:szCs w:val="22"/>
        </w:rPr>
        <w:t xml:space="preserve">, декодированное значение NaN.</w:t>
      </w:r>
    </w:p>
    <w:p>
      <w:pPr>
        <w:spacing w:after="120" w:line="360"/>
        <w:ind w:firstLine="283"/>
        <w:jc w:val="both"/>
      </w:pPr>
      <w:r>
        <w:rPr>
          <w:rFonts w:ascii="Times New Roman" w:cs="Times New Roman" w:eastAsia="Times New Roman" w:hAnsi="Times New Roman"/>
          <w:sz w:val="22"/>
          <w:szCs w:val="22"/>
        </w:rPr>
        <w:t xml:space="preserve">Ни один из вариантов не является ошибкой. Оба соответствуют OCP MX v1.0. Расхождение — задокументированный разрешённый спецификацией интерпретационный разрыв.</w:t>
      </w:r>
    </w:p>
    <w:p>
      <w:pPr>
        <w:spacing w:after="120" w:line="360"/>
        <w:ind w:firstLine="283"/>
        <w:jc w:val="both"/>
      </w:pPr>
      <w:r>
        <w:rPr>
          <w:rFonts w:ascii="Times New Roman" w:cs="Times New Roman" w:eastAsia="Times New Roman" w:hAnsi="Times New Roman"/>
          <w:sz w:val="22"/>
          <w:szCs w:val="22"/>
        </w:rPr>
        <w:t xml:space="preserve">Практическое следствие значимо для авторов компиляторов и тестовых стендов. Любой межвендорный перенос вычисления FP8 E4M3 должен либо: (а) явно выбрать одну политику и задокументировать её, либо (б) нести оба вектора в своём эталонном наборе тестов, принимая, что входы из диапазона переполнения будут давать разные результаты на разном оборудовании.</w:t>
      </w:r>
    </w:p>
    <w:p>
      <w:pPr>
        <w:spacing w:after="120" w:line="360"/>
        <w:ind w:firstLine="283"/>
        <w:jc w:val="both"/>
      </w:pPr>
      <w:r>
        <w:rPr>
          <w:rFonts w:ascii="Times New Roman" w:cs="Times New Roman" w:eastAsia="Times New Roman" w:hAnsi="Times New Roman"/>
          <w:sz w:val="22"/>
          <w:szCs w:val="22"/>
        </w:rPr>
        <w:t xml:space="preserve">Именно это и призван вскрывать пакет соответствия. Набор тестов, который сравнивает лишь «совпадают ли выходы на этом оборудовании?», никогда не увидел бы этого расхождения — обе реализации проходят собственные тесты. Общий битоточный эталон делает разрыв видимым.</w:t>
      </w:r>
    </w:p>
    <w:p>
      <w:pPr>
        <w:pStyle w:val="Heading2"/>
        <w:spacing w:after="110" w:before="220"/>
      </w:pPr>
      <w:r>
        <w:rPr>
          <w:rFonts w:ascii="Times New Roman" w:cs="Times New Roman" w:eastAsia="Times New Roman" w:hAnsi="Times New Roman"/>
          <w:b/>
          <w:bCs/>
          <w:color w:val="000000"/>
          <w:sz w:val="26"/>
          <w:szCs w:val="26"/>
        </w:rPr>
        <w:t xml:space="preserve">7.2. Разрыв B: 4-битная блочная структура (MXFP4 против NVFP4)</w:t>
      </w:r>
    </w:p>
    <w:p>
      <w:pPr>
        <w:spacing w:after="120" w:line="360"/>
        <w:ind w:firstLine="283"/>
        <w:jc w:val="both"/>
      </w:pPr>
      <w:r>
        <w:rPr>
          <w:rFonts w:ascii="Times New Roman" w:cs="Times New Roman" w:eastAsia="Times New Roman" w:hAnsi="Times New Roman"/>
          <w:sz w:val="22"/>
          <w:szCs w:val="22"/>
        </w:rPr>
        <w:t xml:space="preserve">Второй класс интерпретационного разрыва возникает уровнем выше — на уровне блочной структуры, а не битового паттерна элемента. OCP MX MXFP4 и NVIDIA NVFP4 разделяют одну и ту же раскладку элемента S1E2M1 (так что пакеты элементов битоидентичны на 4-битном уровне), однако оборачивают этот элемент в блоки разной формы с по-разному квантованными полями масштаба. Таблица 7 резюмирует расхождение параметров.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Параметр</w:t>
            </w:r>
          </w:p>
        </w:tc>
        <w:tc>
          <w:tcPr>
            <w:tcW w:type="dxa" w:w="30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OCP MX MXFP4</w:t>
            </w:r>
          </w:p>
        </w:tc>
        <w:tc>
          <w:tcPr>
            <w:tcW w:type="dxa" w:w="30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9"/>
                <w:szCs w:val="19"/>
              </w:rPr>
              <w:t xml:space="preserve">NVIDIA NVFP4</w:t>
            </w:r>
          </w:p>
        </w:tc>
      </w:tr>
      <w:tr>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Раскладка элемента</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S1E2M1 (4 бита)</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S1E2M1 (4 бита)</w:t>
            </w:r>
          </w:p>
        </w:tc>
      </w:tr>
      <w:tr>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Биты мантиссы (элемент)</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1</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1</w:t>
            </w:r>
          </w:p>
        </w:tc>
      </w:tr>
      <w:tr>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Размер блока</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32 элемента</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16 элементов</w:t>
            </w:r>
          </w:p>
        </w:tc>
      </w:tr>
      <w:tr>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Формат масштаба</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E8M0 (8-бит)</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FP8 E4M3 (8-бит)</w:t>
            </w:r>
          </w:p>
        </w:tc>
      </w:tr>
      <w:tr>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Биты порядка масштаба</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8 (чистый порядок)</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4</w:t>
            </w:r>
          </w:p>
        </w:tc>
      </w:tr>
      <w:tr>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Биты мантиссы масштаба</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0</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3</w:t>
            </w:r>
          </w:p>
        </w:tc>
      </w:tr>
      <w:tr>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Динамический диапазон масштаба</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2⁻¹²⁷ … 2¹²⁷</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 2⁻⁹ … 448</w:t>
            </w:r>
          </w:p>
        </w:tc>
      </w:tr>
      <w:tr>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Гранулярность масштаба на декаду</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1 (только степени двойки)</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8 (3-битная мантисса)</w:t>
            </w:r>
          </w:p>
        </w:tc>
      </w:tr>
      <w:tr>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Бит/элемент с учётом масштаба</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4 + 8/32 = 4,25</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9"/>
                <w:szCs w:val="19"/>
              </w:rPr>
              <w:t xml:space="preserve">4 + 8/16 = 4,50</w:t>
            </w:r>
          </w:p>
        </w:tc>
      </w:tr>
    </w:tbl>
    <w:p>
      <w:pPr>
        <w:spacing w:after="160" w:before="60"/>
        <w:jc w:val="center"/>
      </w:pPr>
      <w:r>
        <w:rPr>
          <w:rFonts w:ascii="Times New Roman" w:cs="Times New Roman" w:eastAsia="Times New Roman" w:hAnsi="Times New Roman"/>
          <w:i/>
          <w:iCs/>
          <w:sz w:val="20"/>
          <w:szCs w:val="20"/>
        </w:rPr>
        <w:t xml:space="preserve">Таблица 7. Параметры блочной структуры MXFP4 против NVFP4.</w:t>
      </w:r>
    </w:p>
    <w:p>
      <w:pPr>
        <w:spacing w:after="120" w:line="360"/>
        <w:ind w:firstLine="283"/>
        <w:jc w:val="both"/>
      </w:pPr>
      <w:r>
        <w:rPr>
          <w:rFonts w:ascii="Times New Roman" w:cs="Times New Roman" w:eastAsia="Times New Roman" w:hAnsi="Times New Roman"/>
          <w:sz w:val="22"/>
          <w:szCs w:val="22"/>
        </w:rPr>
        <w:t xml:space="preserve">Из таблицы параметров вытекают три структурных следствия:</w:t>
      </w:r>
    </w:p>
    <w:p>
      <w:pPr>
        <w:pStyle w:val="ListParagraph"/>
        <w:numPr>
          <w:ilvl w:val="0"/>
          <w:numId w:val="4"/>
        </w:numPr>
        <w:spacing w:after="80" w:line="276"/>
        <w:jc w:val="both"/>
      </w:pPr>
      <w:r>
        <w:rPr>
          <w:rFonts w:ascii="Times New Roman" w:cs="Times New Roman" w:eastAsia="Times New Roman" w:hAnsi="Times New Roman"/>
          <w:b/>
          <w:bCs/>
          <w:sz w:val="22"/>
          <w:szCs w:val="22"/>
        </w:rPr>
        <w:t xml:space="preserve">Различное разрешение масштаба. </w:t>
      </w:r>
      <w:r>
        <w:rPr>
          <w:rFonts w:ascii="Times New Roman" w:cs="Times New Roman" w:eastAsia="Times New Roman" w:hAnsi="Times New Roman"/>
          <w:sz w:val="22"/>
          <w:szCs w:val="22"/>
        </w:rPr>
        <w:t xml:space="preserve">E8M0 (MXFP4) квантует блочный масштаб до степени двойки; масштаб FP8 E4M3 в NVFP4 предлагает 2³ = 8 кодов мантиссы на двоичный порядок и потому разрешает внутриблочный динамический диапазон в восемь раз тоньше в пределах своего представимого диапазона.</w:t>
      </w:r>
    </w:p>
    <w:p>
      <w:pPr>
        <w:pStyle w:val="ListParagraph"/>
        <w:numPr>
          <w:ilvl w:val="0"/>
          <w:numId w:val="4"/>
        </w:numPr>
        <w:spacing w:after="80" w:line="276"/>
        <w:jc w:val="both"/>
      </w:pPr>
      <w:r>
        <w:rPr>
          <w:rFonts w:ascii="Times New Roman" w:cs="Times New Roman" w:eastAsia="Times New Roman" w:hAnsi="Times New Roman"/>
          <w:b/>
          <w:bCs/>
          <w:sz w:val="22"/>
          <w:szCs w:val="22"/>
        </w:rPr>
        <w:t xml:space="preserve">Различный диапазон масштаба. </w:t>
      </w:r>
      <w:r>
        <w:rPr>
          <w:rFonts w:ascii="Times New Roman" w:cs="Times New Roman" w:eastAsia="Times New Roman" w:hAnsi="Times New Roman"/>
          <w:sz w:val="22"/>
          <w:szCs w:val="22"/>
        </w:rPr>
        <w:t xml:space="preserve">E8M0 охватывает приблизительно 2²⁵⁴ двоичных порядков (с учётом зарезервированных кодов); FP8 E4M3 насыщается при 448 и теряет значимость ниже ≈ 2⁻⁹. Тензор, чей поблочный масштаб естественно лежит вне диапазона FP8, представим в MXFP4, но не в NVFP4 без перемасштабирования на более высоком уровне.</w:t>
      </w:r>
    </w:p>
    <w:p>
      <w:pPr>
        <w:pStyle w:val="ListParagraph"/>
        <w:numPr>
          <w:ilvl w:val="0"/>
          <w:numId w:val="4"/>
        </w:numPr>
        <w:spacing w:after="80" w:line="276"/>
        <w:jc w:val="both"/>
      </w:pPr>
      <w:r>
        <w:rPr>
          <w:rFonts w:ascii="Times New Roman" w:cs="Times New Roman" w:eastAsia="Times New Roman" w:hAnsi="Times New Roman"/>
          <w:b/>
          <w:bCs/>
          <w:sz w:val="22"/>
          <w:szCs w:val="22"/>
        </w:rPr>
        <w:t xml:space="preserve">Различный эффективный бюджет битов. </w:t>
      </w:r>
      <w:r>
        <w:rPr>
          <w:rFonts w:ascii="Times New Roman" w:cs="Times New Roman" w:eastAsia="Times New Roman" w:hAnsi="Times New Roman"/>
          <w:sz w:val="22"/>
          <w:szCs w:val="22"/>
        </w:rPr>
        <w:t xml:space="preserve">Поэлементное хранение составляет 4,25 бита для MXFP4 (32-элементный блок) против 4,50 бита для NVFP4 (16-элементный блок). Два формата не сравнимы напрямую по битам; любое сравнение коэффициентов сжатия должно учитывать эту разницу накладных расходов в 5,9 % у NVFP4.</w:t>
      </w:r>
    </w:p>
    <w:p>
      <w:pPr>
        <w:spacing w:after="120" w:line="360"/>
        <w:ind w:firstLine="283"/>
        <w:jc w:val="both"/>
      </w:pPr>
      <w:r>
        <w:rPr>
          <w:rFonts w:ascii="Times New Roman" w:cs="Times New Roman" w:eastAsia="Times New Roman" w:hAnsi="Times New Roman"/>
          <w:sz w:val="22"/>
          <w:szCs w:val="22"/>
        </w:rPr>
        <w:t xml:space="preserve">Поэтому тензор, сохранённый как MXFP4, и тот же тензор, сохранённый как NVFP4, могут совпадать по каждому битовому паттерну элемента, но различаться по декодированному значению, поскольку поблочный масштаб, на который они умножаются, использует другой (и по-другому квантованный) формат масштаба. Это структурный интерпретационный разрыв, а не разрыв значений: битоточность элемента не влечёт равенства декодированного тензора.</w:t>
      </w:r>
    </w:p>
    <w:p>
      <w:pPr>
        <w:spacing w:after="120" w:line="360"/>
        <w:ind w:firstLine="283"/>
        <w:jc w:val="both"/>
      </w:pPr>
      <w:r>
        <w:rPr>
          <w:rFonts w:ascii="Times New Roman" w:cs="Times New Roman" w:eastAsia="Times New Roman" w:hAnsi="Times New Roman"/>
          <w:sz w:val="22"/>
          <w:szCs w:val="22"/>
        </w:rPr>
        <w:t xml:space="preserve">Показание линейки симметрично разрыву A. И MXFP4, и NVFP4 — соответствующие реализации разумно спроектированного 4-битного блочного формата; они просто делают разный выбор блочной структуры. Межвендорное развёртывание 4-битных весов требует явного объявления используемого блочного формата (размер блока + формат масштаба), а не только раскладки элемента. Объявлений только об элементе («модель использует 4-битные веса в форме MXFP4») недостаточно.</w:t>
      </w:r>
    </w:p>
    <w:p>
      <w:pPr>
        <w:spacing w:after="120" w:line="360"/>
        <w:ind w:firstLine="283"/>
        <w:jc w:val="both"/>
      </w:pPr>
      <w:r>
        <w:rPr>
          <w:rFonts w:ascii="Times New Roman" w:cs="Times New Roman" w:eastAsia="Times New Roman" w:hAnsi="Times New Roman"/>
          <w:sz w:val="22"/>
          <w:szCs w:val="22"/>
        </w:rPr>
        <w:t xml:space="preserve">Настоящий каталог охватывает сторону MXFP4 этой пары как пакет уровня Tier-1 и перечисляет NVFP4 как ближайшего кандидата Трека 2 (раздел 9.1). Документирование структурного разрыва — первый шаг; парный пакет NVFP4 с совпадающей схемой и намеренным межпакетным вектором расхождения на представительной границе квантования масштаба закроет его.</w:t>
      </w:r>
    </w:p>
    <w:p>
      <w:pPr>
        <w:pStyle w:val="Heading2"/>
        <w:spacing w:after="110" w:before="220"/>
      </w:pPr>
      <w:r>
        <w:rPr>
          <w:rFonts w:ascii="Times New Roman" w:cs="Times New Roman" w:eastAsia="Times New Roman" w:hAnsi="Times New Roman"/>
          <w:b/>
          <w:bCs/>
          <w:color w:val="000000"/>
          <w:sz w:val="26"/>
          <w:szCs w:val="26"/>
        </w:rPr>
        <w:t xml:space="preserve">7.3. Общий паттерн: разрешённый спецификацией выбор как показание линейки</w:t>
      </w:r>
    </w:p>
    <w:p>
      <w:pPr>
        <w:spacing w:after="120" w:line="360"/>
        <w:ind w:firstLine="283"/>
        <w:jc w:val="both"/>
      </w:pPr>
      <w:r>
        <w:rPr>
          <w:rFonts w:ascii="Times New Roman" w:cs="Times New Roman" w:eastAsia="Times New Roman" w:hAnsi="Times New Roman"/>
          <w:sz w:val="22"/>
          <w:szCs w:val="22"/>
        </w:rPr>
        <w:t xml:space="preserve">Норма честности: каждый вектор в каждом пакете, где декодированное значение отличается от входного, несёт ненулевое значение </w:t>
      </w:r>
      <w:r>
        <w:rPr>
          <w:rFonts w:ascii="Consolas" w:cs="Consolas" w:eastAsia="Consolas" w:hAnsi="Consolas"/>
          <w:sz w:val="22"/>
          <w:szCs w:val="22"/>
        </w:rPr>
        <w:t xml:space="preserve">abs_error</w:t>
      </w:r>
      <w:r>
        <w:rPr>
          <w:rFonts w:ascii="Times New Roman" w:cs="Times New Roman" w:eastAsia="Times New Roman" w:hAnsi="Times New Roman"/>
          <w:sz w:val="22"/>
          <w:szCs w:val="22"/>
        </w:rPr>
        <w:t xml:space="preserve">. Переполнение в ±∞ показывает </w:t>
      </w:r>
      <w:r>
        <w:rPr>
          <w:rFonts w:ascii="Consolas" w:cs="Consolas" w:eastAsia="Consolas" w:hAnsi="Consolas"/>
          <w:sz w:val="22"/>
          <w:szCs w:val="22"/>
        </w:rPr>
        <w:t xml:space="preserve">abs_error = Inf</w:t>
      </w:r>
      <w:r>
        <w:rPr>
          <w:rFonts w:ascii="Times New Roman" w:cs="Times New Roman" w:eastAsia="Times New Roman" w:hAnsi="Times New Roman"/>
          <w:sz w:val="22"/>
          <w:szCs w:val="22"/>
        </w:rPr>
        <w:t xml:space="preserve">; потеря значимости до нуля показывает фактическую величину утраченного значения. Никакое поле abs_error не подавляется и не округляется до нуля ради улучшения статистики совпадений.</w:t>
      </w:r>
    </w:p>
    <w:p>
      <w:pPr>
        <w:pStyle w:val="Heading1"/>
        <w:spacing w:after="140" w:before="280"/>
      </w:pPr>
      <w:r>
        <w:rPr>
          <w:rFonts w:ascii="Times New Roman" w:cs="Times New Roman" w:eastAsia="Times New Roman" w:hAnsi="Times New Roman"/>
          <w:b/>
          <w:bCs/>
          <w:color w:val="000000"/>
          <w:sz w:val="30"/>
          <w:szCs w:val="30"/>
        </w:rPr>
        <w:t xml:space="preserve">8. Воспроизводимость и происхождение</w:t>
      </w:r>
    </w:p>
    <w:p>
      <w:pPr>
        <w:pStyle w:val="Heading2"/>
        <w:spacing w:after="110" w:before="220"/>
      </w:pPr>
      <w:r>
        <w:rPr>
          <w:rFonts w:ascii="Times New Roman" w:cs="Times New Roman" w:eastAsia="Times New Roman" w:hAnsi="Times New Roman"/>
          <w:b/>
          <w:bCs/>
          <w:color w:val="000000"/>
          <w:sz w:val="26"/>
          <w:szCs w:val="26"/>
        </w:rPr>
        <w:t xml:space="preserve">8.1. Исходные репозитории</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gHashTag/t27 </w:t>
      </w:r>
      <w:r>
        <w:rPr>
          <w:rFonts w:ascii="Times New Roman" w:cs="Times New Roman" w:eastAsia="Times New Roman" w:hAnsi="Times New Roman"/>
          <w:sz w:val="22"/>
          <w:szCs w:val="22"/>
        </w:rPr>
        <w:t xml:space="preserve">(</w:t>
      </w:r>
      <w:r>
        <w:rPr>
          <w:rFonts w:ascii="Consolas" w:cs="Consolas" w:eastAsia="Consolas" w:hAnsi="Consolas"/>
          <w:sz w:val="22"/>
          <w:szCs w:val="22"/>
        </w:rPr>
        <w:t xml:space="preserve">github.com/gHashTag/t27</w:t>
      </w:r>
      <w:r>
        <w:rPr>
          <w:rFonts w:ascii="Times New Roman" w:cs="Times New Roman" w:eastAsia="Times New Roman" w:hAnsi="Times New Roman"/>
          <w:sz w:val="22"/>
          <w:szCs w:val="22"/>
        </w:rPr>
        <w:t xml:space="preserve">): единый источник истины (SSOT) для каталога и полного набора пакетов соответствия на все 83 формата. Каталог </w:t>
      </w:r>
      <w:r>
        <w:rPr>
          <w:rFonts w:ascii="Consolas" w:cs="Consolas" w:eastAsia="Consolas" w:hAnsi="Consolas"/>
          <w:sz w:val="22"/>
          <w:szCs w:val="22"/>
        </w:rPr>
        <w:t xml:space="preserve">conformance/vectors</w:t>
      </w:r>
      <w:r>
        <w:rPr>
          <w:rFonts w:ascii="Times New Roman" w:cs="Times New Roman" w:eastAsia="Times New Roman" w:hAnsi="Times New Roman"/>
          <w:sz w:val="22"/>
          <w:szCs w:val="22"/>
        </w:rPr>
        <w:t xml:space="preserve"> содержит все файлы пакетов, машиночитаемый индекс </w:t>
      </w:r>
      <w:r>
        <w:rPr>
          <w:rFonts w:ascii="Consolas" w:cs="Consolas" w:eastAsia="Consolas" w:hAnsi="Consolas"/>
          <w:sz w:val="22"/>
          <w:szCs w:val="22"/>
        </w:rPr>
        <w:t xml:space="preserve">INDEX_all_formats.json</w:t>
      </w:r>
      <w:r>
        <w:rPr>
          <w:rFonts w:ascii="Times New Roman" w:cs="Times New Roman" w:eastAsia="Times New Roman" w:hAnsi="Times New Roman"/>
          <w:sz w:val="22"/>
          <w:szCs w:val="22"/>
        </w:rPr>
        <w:t xml:space="preserve">, README с полными отпечатками SHA-256 и каталоговый генератор </w:t>
      </w:r>
      <w:r>
        <w:rPr>
          <w:rFonts w:ascii="Consolas" w:cs="Consolas" w:eastAsia="Consolas" w:hAnsi="Consolas"/>
          <w:sz w:val="22"/>
          <w:szCs w:val="22"/>
        </w:rPr>
        <w:t xml:space="preserve">gen_all_formats.py</w:t>
      </w:r>
      <w:r>
        <w:rPr>
          <w:rFonts w:ascii="Times New Roman" w:cs="Times New Roman" w:eastAsia="Times New Roman" w:hAnsi="Times New Roman"/>
          <w:sz w:val="22"/>
          <w:szCs w:val="22"/>
        </w:rPr>
        <w:t xml:space="preserve">; рядом — JSON-файлы каталога, проверки инвариантов и шаблоны кодогенерации.</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gHashTag/tt-lang-t27 </w:t>
      </w:r>
      <w:r>
        <w:rPr>
          <w:rFonts w:ascii="Times New Roman" w:cs="Times New Roman" w:eastAsia="Times New Roman" w:hAnsi="Times New Roman"/>
          <w:sz w:val="22"/>
          <w:szCs w:val="22"/>
        </w:rPr>
        <w:t xml:space="preserve">(</w:t>
      </w:r>
      <w:r>
        <w:rPr>
          <w:rFonts w:ascii="Consolas" w:cs="Consolas" w:eastAsia="Consolas" w:hAnsi="Consolas"/>
          <w:sz w:val="22"/>
          <w:szCs w:val="22"/>
        </w:rPr>
        <w:t xml:space="preserve">github.com/gHashTag/tt-lang-t27</w:t>
      </w:r>
      <w:r>
        <w:rPr>
          <w:rFonts w:ascii="Times New Roman" w:cs="Times New Roman" w:eastAsia="Times New Roman" w:hAnsi="Times New Roman"/>
          <w:sz w:val="22"/>
          <w:szCs w:val="22"/>
        </w:rPr>
        <w:t xml:space="preserve">): зеркало на PyPI. Версия 0.3.1 доступна на PyPI (включает пакеты GF16 и MXFP4). Версия 0.4.0-pre, добавляющая четыре новых пакета, описанных в этой статье, доступна в PR #6.</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gHashTag/tt-trinity-corona </w:t>
      </w:r>
      <w:r>
        <w:rPr>
          <w:rFonts w:ascii="Times New Roman" w:cs="Times New Roman" w:eastAsia="Times New Roman" w:hAnsi="Times New Roman"/>
          <w:sz w:val="22"/>
          <w:szCs w:val="22"/>
        </w:rPr>
        <w:t xml:space="preserve">(</w:t>
      </w:r>
      <w:r>
        <w:rPr>
          <w:rFonts w:ascii="Consolas" w:cs="Consolas" w:eastAsia="Consolas" w:hAnsi="Consolas"/>
          <w:sz w:val="22"/>
          <w:szCs w:val="22"/>
        </w:rPr>
        <w:t xml:space="preserve">github.com/gHashTag/tt-trinity-corona</w:t>
      </w:r>
      <w:r>
        <w:rPr>
          <w:rFonts w:ascii="Times New Roman" w:cs="Times New Roman" w:eastAsia="Times New Roman" w:hAnsi="Times New Roman"/>
          <w:sz w:val="22"/>
          <w:szCs w:val="22"/>
        </w:rPr>
        <w:t xml:space="preserve">): контекст кремниевого оракула уровня Tier-2 для постсиликонного аудита на GF180MCU; упоминается здесь одной строкой для полноты.</w:t>
      </w:r>
    </w:p>
    <w:p>
      <w:pPr>
        <w:pStyle w:val="Heading2"/>
        <w:spacing w:after="110" w:before="220"/>
      </w:pPr>
      <w:r>
        <w:rPr>
          <w:rFonts w:ascii="Times New Roman" w:cs="Times New Roman" w:eastAsia="Times New Roman" w:hAnsi="Times New Roman"/>
          <w:b/>
          <w:bCs/>
          <w:color w:val="000000"/>
          <w:sz w:val="26"/>
          <w:szCs w:val="26"/>
        </w:rPr>
        <w:t xml:space="preserve">8.2. Эталонный инструмент</w:t>
      </w:r>
    </w:p>
    <w:p>
      <w:pPr>
        <w:spacing w:after="120" w:line="360"/>
        <w:ind w:firstLine="283"/>
        <w:jc w:val="both"/>
      </w:pPr>
      <w:r>
        <w:rPr>
          <w:rFonts w:ascii="Times New Roman" w:cs="Times New Roman" w:eastAsia="Times New Roman" w:hAnsi="Times New Roman"/>
          <w:sz w:val="22"/>
          <w:szCs w:val="22"/>
        </w:rPr>
        <w:t xml:space="preserve">Основной оракул для всей перекрёстной проверки — </w:t>
      </w:r>
      <w:r>
        <w:rPr>
          <w:rFonts w:ascii="Consolas" w:cs="Consolas" w:eastAsia="Consolas" w:hAnsi="Consolas"/>
          <w:sz w:val="22"/>
          <w:szCs w:val="22"/>
        </w:rPr>
        <w:t xml:space="preserve">ml_dtypes</w:t>
      </w:r>
      <w:r>
        <w:rPr>
          <w:rFonts w:ascii="Times New Roman" w:cs="Times New Roman" w:eastAsia="Times New Roman" w:hAnsi="Times New Roman"/>
          <w:sz w:val="22"/>
          <w:szCs w:val="22"/>
        </w:rPr>
        <w:t xml:space="preserve"> 0.5.4 (Google/JAX), доступный по адресу </w:t>
      </w:r>
      <w:r>
        <w:rPr>
          <w:rFonts w:ascii="Consolas" w:cs="Consolas" w:eastAsia="Consolas" w:hAnsi="Consolas"/>
          <w:sz w:val="22"/>
          <w:szCs w:val="22"/>
        </w:rPr>
        <w:t xml:space="preserve">github.com/jax-ml/ml_dtypes</w:t>
      </w:r>
      <w:r>
        <w:rPr>
          <w:rFonts w:ascii="Times New Roman" w:cs="Times New Roman" w:eastAsia="Times New Roman" w:hAnsi="Times New Roman"/>
          <w:sz w:val="22"/>
          <w:szCs w:val="22"/>
        </w:rPr>
        <w:t xml:space="preserve">. Конкретные используемые типы: </w:t>
      </w:r>
      <w:r>
        <w:rPr>
          <w:rFonts w:ascii="Consolas" w:cs="Consolas" w:eastAsia="Consolas" w:hAnsi="Consolas"/>
          <w:sz w:val="22"/>
          <w:szCs w:val="22"/>
        </w:rPr>
        <w:t xml:space="preserve">ml_dtypes.bfloat16</w:t>
      </w:r>
      <w:r>
        <w:rPr>
          <w:rFonts w:ascii="Times New Roman" w:cs="Times New Roman" w:eastAsia="Times New Roman" w:hAnsi="Times New Roman"/>
          <w:sz w:val="22"/>
          <w:szCs w:val="22"/>
        </w:rPr>
        <w:t xml:space="preserve">, </w:t>
      </w:r>
      <w:r>
        <w:rPr>
          <w:rFonts w:ascii="Consolas" w:cs="Consolas" w:eastAsia="Consolas" w:hAnsi="Consolas"/>
          <w:sz w:val="22"/>
          <w:szCs w:val="22"/>
        </w:rPr>
        <w:t xml:space="preserve">ml_dtypes.float8_e4m3fn</w:t>
      </w:r>
      <w:r>
        <w:rPr>
          <w:rFonts w:ascii="Times New Roman" w:cs="Times New Roman" w:eastAsia="Times New Roman" w:hAnsi="Times New Roman"/>
          <w:sz w:val="22"/>
          <w:szCs w:val="22"/>
        </w:rPr>
        <w:t xml:space="preserve">, </w:t>
      </w:r>
      <w:r>
        <w:rPr>
          <w:rFonts w:ascii="Consolas" w:cs="Consolas" w:eastAsia="Consolas" w:hAnsi="Consolas"/>
          <w:sz w:val="22"/>
          <w:szCs w:val="22"/>
        </w:rPr>
        <w:t xml:space="preserve">ml_dtypes.float8_e5m2</w:t>
      </w:r>
      <w:r>
        <w:rPr>
          <w:rFonts w:ascii="Times New Roman" w:cs="Times New Roman" w:eastAsia="Times New Roman" w:hAnsi="Times New Roman"/>
          <w:sz w:val="22"/>
          <w:szCs w:val="22"/>
        </w:rPr>
        <w:t xml:space="preserve"> и </w:t>
      </w:r>
      <w:r>
        <w:rPr>
          <w:rFonts w:ascii="Consolas" w:cs="Consolas" w:eastAsia="Consolas" w:hAnsi="Consolas"/>
          <w:sz w:val="22"/>
          <w:szCs w:val="22"/>
        </w:rPr>
        <w:t xml:space="preserve">ml_dtypes.float8_e8m0fnu</w:t>
      </w:r>
      <w:r>
        <w:rPr>
          <w:rFonts w:ascii="Times New Roman" w:cs="Times New Roman" w:eastAsia="Times New Roman" w:hAnsi="Times New Roman"/>
          <w:sz w:val="22"/>
          <w:szCs w:val="22"/>
        </w:rPr>
        <w:t xml:space="preserve">.</w:t>
      </w:r>
    </w:p>
    <w:p>
      <w:pPr>
        <w:pStyle w:val="Heading2"/>
        <w:spacing w:after="110" w:before="220"/>
      </w:pPr>
      <w:r>
        <w:rPr>
          <w:rFonts w:ascii="Times New Roman" w:cs="Times New Roman" w:eastAsia="Times New Roman" w:hAnsi="Times New Roman"/>
          <w:b/>
          <w:bCs/>
          <w:color w:val="000000"/>
          <w:sz w:val="26"/>
          <w:szCs w:val="26"/>
        </w:rPr>
        <w:t xml:space="preserve">8.3. Отпечаток якоря</w:t>
      </w:r>
    </w:p>
    <w:p>
      <w:pPr>
        <w:spacing w:after="120" w:line="360"/>
        <w:ind w:firstLine="283"/>
        <w:jc w:val="both"/>
      </w:pPr>
      <w:r>
        <w:rPr>
          <w:rFonts w:ascii="Times New Roman" w:cs="Times New Roman" w:eastAsia="Times New Roman" w:hAnsi="Times New Roman"/>
          <w:sz w:val="22"/>
          <w:szCs w:val="22"/>
        </w:rPr>
        <w:t xml:space="preserve">Якорное тождество </w:t>
      </w:r>
      <w:r>
        <w:rPr>
          <w:rFonts w:ascii="Times New Roman" w:cs="Times New Roman" w:eastAsia="Times New Roman" w:hAnsi="Times New Roman"/>
          <w:i/>
          <w:iCs/>
          <w:sz w:val="22"/>
          <w:szCs w:val="22"/>
        </w:rPr>
        <w:t xml:space="preserve">φ² + 1/φ² = 3</w:t>
      </w:r>
      <w:r>
        <w:rPr>
          <w:rFonts w:ascii="Times New Roman" w:cs="Times New Roman" w:eastAsia="Times New Roman" w:hAnsi="Times New Roman"/>
          <w:sz w:val="22"/>
          <w:szCs w:val="22"/>
        </w:rPr>
        <w:t xml:space="preserve"> (ур. (1)), формализованное в препринте GoldenFloat, имеет следующий канонический отпечаток SHA-256:</w:t>
      </w:r>
    </w:p>
    <w:p>
      <w:pPr>
        <w:spacing w:after="120" w:before="60"/>
        <w:jc w:val="center"/>
      </w:pPr>
      <w:r>
        <w:rPr>
          <w:rFonts w:ascii="Consolas" w:cs="Consolas" w:eastAsia="Consolas" w:hAnsi="Consolas"/>
          <w:sz w:val="18"/>
          <w:szCs w:val="18"/>
        </w:rPr>
        <w:t xml:space="preserve">218403e344779c890f302ad2c70af21fb765060dd794d793c7eacc1ef8f80e6b</w:t>
      </w:r>
    </w:p>
    <w:p>
      <w:pPr>
        <w:spacing w:after="120" w:line="360"/>
        <w:ind w:firstLine="283"/>
        <w:jc w:val="both"/>
      </w:pPr>
      <w:r>
        <w:rPr>
          <w:rFonts w:ascii="Times New Roman" w:cs="Times New Roman" w:eastAsia="Times New Roman" w:hAnsi="Times New Roman"/>
          <w:sz w:val="22"/>
          <w:szCs w:val="22"/>
        </w:rPr>
        <w:t xml:space="preserve">Этот отпечаток покрывает каноническую UTF-8-кодировку строки тождества и служит внеполосной проверкой того, что цитируется правильная якорная статья.</w:t>
      </w:r>
    </w:p>
    <w:p>
      <w:pPr>
        <w:pStyle w:val="Heading2"/>
        <w:spacing w:after="110" w:before="220"/>
      </w:pPr>
      <w:r>
        <w:rPr>
          <w:rFonts w:ascii="Times New Roman" w:cs="Times New Roman" w:eastAsia="Times New Roman" w:hAnsi="Times New Roman"/>
          <w:b/>
          <w:bCs/>
          <w:color w:val="000000"/>
          <w:sz w:val="26"/>
          <w:szCs w:val="26"/>
        </w:rPr>
        <w:t xml:space="preserve">8.4. Таблица происхождения пакетов</w:t>
      </w:r>
    </w:p>
    <w:p>
      <w:pPr>
        <w:spacing w:after="120" w:line="360"/>
        <w:ind w:firstLine="283"/>
        <w:jc w:val="both"/>
      </w:pPr>
      <w:r>
        <w:rPr>
          <w:rFonts w:ascii="Times New Roman" w:cs="Times New Roman" w:eastAsia="Times New Roman" w:hAnsi="Times New Roman"/>
          <w:sz w:val="22"/>
          <w:szCs w:val="22"/>
        </w:rPr>
        <w:t xml:space="preserve">Таблица 8 перечисляет путь в репозитории, ветку/PR и полный SHA-256 для каждого пакета.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900"/>
        <w:gridCol w:w="4460"/>
      </w:tblGrid>
      <w:tr>
        <w:trPr>
          <w:tblHeader/>
        </w:trPr>
        <w:tc>
          <w:tcPr>
            <w:tcW w:type="dxa" w:w="13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6"/>
                <w:szCs w:val="16"/>
              </w:rPr>
              <w:t xml:space="preserve">Пакет</w:t>
            </w:r>
          </w:p>
        </w:tc>
        <w:tc>
          <w:tcPr>
            <w:tcW w:type="dxa" w:w="17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6"/>
                <w:szCs w:val="16"/>
              </w:rPr>
              <w:t xml:space="preserve">Репозиторий</w:t>
            </w:r>
          </w:p>
        </w:tc>
        <w:tc>
          <w:tcPr>
            <w:tcW w:type="dxa" w:w="190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6"/>
                <w:szCs w:val="16"/>
              </w:rPr>
              <w:t xml:space="preserve">Ветка / PR</w:t>
            </w:r>
          </w:p>
        </w:tc>
        <w:tc>
          <w:tcPr>
            <w:tcW w:type="dxa" w:w="446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after="0" w:line="240"/>
            </w:pPr>
            <w:r>
              <w:rPr>
                <w:rFonts w:ascii="Times New Roman" w:cs="Times New Roman" w:eastAsia="Times New Roman" w:hAnsi="Times New Roman"/>
                <w:b/>
                <w:bCs/>
                <w:sz w:val="16"/>
                <w:szCs w:val="16"/>
              </w:rPr>
              <w:t xml:space="preserve">Полный SHA-256</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GF16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gHashTag/t27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main (v0.3.1)</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см. репозиторий (не закреплён в манифесте v0.4.0-pre)</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MXFP4</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gHashTag/t27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main (v0.3.1)</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4"/>
                <w:szCs w:val="14"/>
              </w:rPr>
              <w:t xml:space="preserve">86c99d6f72375d751df4c74897904a0a36cff52e8d60cbfef5d58b71625d4b2f</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BF16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gHashTag/t27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PR #6 (v0.4.0-pre)</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4"/>
                <w:szCs w:val="14"/>
              </w:rPr>
              <w:t xml:space="preserve">320c1850b484674546785791b1c22d76feb4ea748c6669ffb633e5455d822b8a</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FP8 E4M3</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gHashTag/t27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PR #6 (v0.4.0-pre)</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4"/>
                <w:szCs w:val="14"/>
              </w:rPr>
              <w:t xml:space="preserve">fff0c30f8e6bee22b1a7d0e0e1cff65edde9d2b17ebf97dba0539973f0a5e89d</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FP8 E5M2</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gHashTag/t27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PR #6 (v0.4.0-pre)</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4"/>
                <w:szCs w:val="14"/>
              </w:rPr>
              <w:t xml:space="preserve">66cd7be1500ec8003eb5dee7532bb4e954b7bc0084b6f22a75d02f7842f23a56</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E8M0 block</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gHashTag/t27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sz w:val="16"/>
                <w:szCs w:val="16"/>
              </w:rPr>
              <w:t xml:space="preserve">PR #6 (v0.4.0-pre)</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Consolas" w:cs="Consolas" w:eastAsia="Consolas" w:hAnsi="Consolas"/>
                <w:sz w:val="14"/>
                <w:szCs w:val="14"/>
              </w:rPr>
              <w:t xml:space="preserve">b211f1a863f71fd7c5e02e512efff0255ebcc51521311186e01cb9992e4464bd</w:t>
            </w:r>
          </w:p>
        </w:tc>
      </w:tr>
    </w:tbl>
    <w:p>
      <w:pPr>
        <w:spacing w:after="160" w:before="60"/>
        <w:jc w:val="center"/>
      </w:pPr>
      <w:r>
        <w:rPr>
          <w:rFonts w:ascii="Times New Roman" w:cs="Times New Roman" w:eastAsia="Times New Roman" w:hAnsi="Times New Roman"/>
          <w:i/>
          <w:iCs/>
          <w:sz w:val="20"/>
          <w:szCs w:val="20"/>
        </w:rPr>
        <w:t xml:space="preserve">Таблица 8. Сопоставление пакетов с происхождением (T7).</w:t>
      </w:r>
    </w:p>
    <w:p>
      <w:pPr>
        <w:pStyle w:val="Heading2"/>
        <w:spacing w:after="110" w:before="220"/>
      </w:pPr>
      <w:r>
        <w:rPr>
          <w:rFonts w:ascii="Times New Roman" w:cs="Times New Roman" w:eastAsia="Times New Roman" w:hAnsi="Times New Roman"/>
          <w:b/>
          <w:bCs/>
          <w:color w:val="000000"/>
          <w:sz w:val="26"/>
          <w:szCs w:val="26"/>
        </w:rPr>
        <w:t xml:space="preserve">8.5. Манифест</w:t>
      </w:r>
    </w:p>
    <w:p>
      <w:pPr>
        <w:spacing w:after="120" w:line="360"/>
        <w:ind w:firstLine="283"/>
        <w:jc w:val="both"/>
      </w:pPr>
      <w:r>
        <w:rPr>
          <w:rFonts w:ascii="Times New Roman" w:cs="Times New Roman" w:eastAsia="Times New Roman" w:hAnsi="Times New Roman"/>
          <w:sz w:val="22"/>
          <w:szCs w:val="22"/>
        </w:rPr>
        <w:t xml:space="preserve">Файл </w:t>
      </w:r>
      <w:r>
        <w:rPr>
          <w:rFonts w:ascii="Consolas" w:cs="Consolas" w:eastAsia="Consolas" w:hAnsi="Consolas"/>
          <w:sz w:val="22"/>
          <w:szCs w:val="22"/>
        </w:rPr>
        <w:t xml:space="preserve">MANIFEST_v0.4.0-pre.json</w:t>
      </w:r>
      <w:r>
        <w:rPr>
          <w:rFonts w:ascii="Times New Roman" w:cs="Times New Roman" w:eastAsia="Times New Roman" w:hAnsi="Times New Roman"/>
          <w:sz w:val="22"/>
          <w:szCs w:val="22"/>
        </w:rPr>
        <w:t xml:space="preserve"> в репозитории </w:t>
      </w:r>
      <w:r>
        <w:rPr>
          <w:rFonts w:ascii="Consolas" w:cs="Consolas" w:eastAsia="Consolas" w:hAnsi="Consolas"/>
          <w:sz w:val="22"/>
          <w:szCs w:val="22"/>
        </w:rPr>
        <w:t xml:space="preserve">gHashTag/t27</w:t>
      </w:r>
      <w:r>
        <w:rPr>
          <w:rFonts w:ascii="Times New Roman" w:cs="Times New Roman" w:eastAsia="Times New Roman" w:hAnsi="Times New Roman"/>
          <w:sz w:val="22"/>
          <w:szCs w:val="22"/>
        </w:rPr>
        <w:t xml:space="preserve"> фиксирует шесть значений SHA-256 пакетов Tier-1, якорь версии ml_dtypes и ссылку на согласование с P3109; отпечатки всех 83 пакетов перечислены в README каталога </w:t>
      </w:r>
      <w:r>
        <w:rPr>
          <w:rFonts w:ascii="Consolas" w:cs="Consolas" w:eastAsia="Consolas" w:hAnsi="Consolas"/>
          <w:sz w:val="22"/>
          <w:szCs w:val="22"/>
        </w:rPr>
        <w:t xml:space="preserve">conformance/vectors</w:t>
      </w:r>
      <w:r>
        <w:rPr>
          <w:rFonts w:ascii="Times New Roman" w:cs="Times New Roman" w:eastAsia="Times New Roman" w:hAnsi="Times New Roman"/>
          <w:sz w:val="22"/>
          <w:szCs w:val="22"/>
        </w:rPr>
        <w:t xml:space="preserve"> и в </w:t>
      </w:r>
      <w:r>
        <w:rPr>
          <w:rFonts w:ascii="Consolas" w:cs="Consolas" w:eastAsia="Consolas" w:hAnsi="Consolas"/>
          <w:sz w:val="22"/>
          <w:szCs w:val="22"/>
        </w:rPr>
        <w:t xml:space="preserve">INDEX_all_formats.json</w:t>
      </w:r>
      <w:r>
        <w:rPr>
          <w:rFonts w:ascii="Times New Roman" w:cs="Times New Roman" w:eastAsia="Times New Roman" w:hAnsi="Times New Roman"/>
          <w:sz w:val="22"/>
          <w:szCs w:val="22"/>
        </w:rPr>
        <w:t xml:space="preserve">. Последующие потребители могут проверить целостность пакета, заново вычислив SHA-256 канонического JSON-файла и сравнив с записью в манифесте/индексе.</w:t>
      </w:r>
    </w:p>
    <w:p>
      <w:pPr>
        <w:pStyle w:val="Heading1"/>
        <w:spacing w:after="140" w:before="280"/>
      </w:pPr>
      <w:r>
        <w:rPr>
          <w:rFonts w:ascii="Times New Roman" w:cs="Times New Roman" w:eastAsia="Times New Roman" w:hAnsi="Times New Roman"/>
          <w:b/>
          <w:bCs/>
          <w:color w:val="000000"/>
          <w:sz w:val="30"/>
          <w:szCs w:val="30"/>
        </w:rPr>
        <w:t xml:space="preserve">9. Будущая работа</w:t>
      </w:r>
    </w:p>
    <w:p>
      <w:pPr>
        <w:pStyle w:val="Heading2"/>
        <w:spacing w:after="110" w:before="220"/>
      </w:pPr>
      <w:r>
        <w:rPr>
          <w:rFonts w:ascii="Times New Roman" w:cs="Times New Roman" w:eastAsia="Times New Roman" w:hAnsi="Times New Roman"/>
          <w:b/>
          <w:bCs/>
          <w:color w:val="000000"/>
          <w:sz w:val="26"/>
          <w:szCs w:val="26"/>
        </w:rPr>
        <w:t xml:space="preserve">9.1. Трек 2: внешняя валидация всех 83 пакетов</w:t>
      </w:r>
    </w:p>
    <w:p>
      <w:pPr>
        <w:spacing w:after="120" w:line="360"/>
        <w:ind w:firstLine="283"/>
        <w:jc w:val="both"/>
      </w:pPr>
      <w:r>
        <w:rPr>
          <w:rFonts w:ascii="Times New Roman" w:cs="Times New Roman" w:eastAsia="Times New Roman" w:hAnsi="Times New Roman"/>
          <w:sz w:val="22"/>
          <w:szCs w:val="22"/>
        </w:rPr>
        <w:t xml:space="preserve">Набор пакетов уже покрывает все 83 формата каталога на уровне представления (75 битоточных + 0 самосогласованных + 8 структурных; раздел 4.5). Шесть пакетов уровня Tier-1 дополнительно перекрёстно проверены относительно внешнего оракула. Трек 2 (целевой срок III кв. 2026) распространит такую внешнюю валидацию на остальные битоточные пакеты и преобразует структурные пакеты в битоточные по мере появления эталонных реализаций, включая:</w:t>
      </w:r>
    </w:p>
    <w:p>
      <w:pPr>
        <w:pStyle w:val="ListParagraph"/>
        <w:numPr>
          <w:ilvl w:val="0"/>
          <w:numId w:val="2"/>
        </w:numPr>
        <w:spacing w:after="80" w:line="276"/>
        <w:jc w:val="both"/>
      </w:pPr>
      <w:r>
        <w:rPr>
          <w:rFonts w:ascii="Times New Roman" w:cs="Times New Roman" w:eastAsia="Times New Roman" w:hAnsi="Times New Roman"/>
          <w:sz w:val="22"/>
          <w:szCs w:val="22"/>
        </w:rPr>
        <w:t xml:space="preserve">NVIDIA NVFP4 (элемент S1E2M1, 16-элементный блок, блочный масштаб FP8 E4M3) — парный пакет на уровне блока, закрывающий структурный разрыв, задокументированный в разделе 7.2.</w:t>
      </w:r>
    </w:p>
    <w:p>
      <w:pPr>
        <w:pStyle w:val="ListParagraph"/>
        <w:numPr>
          <w:ilvl w:val="0"/>
          <w:numId w:val="2"/>
        </w:numPr>
        <w:spacing w:after="80" w:line="276"/>
        <w:jc w:val="both"/>
      </w:pPr>
      <w:r>
        <w:rPr>
          <w:rFonts w:ascii="Times New Roman" w:cs="Times New Roman" w:eastAsia="Times New Roman" w:hAnsi="Times New Roman"/>
          <w:sz w:val="22"/>
          <w:szCs w:val="22"/>
        </w:rPr>
        <w:t xml:space="preserve">Расширение оракульного покрытия ml_dtypes на записи MLLowPrecision (варианты FP6, FP4) и табличный NF4.</w:t>
      </w:r>
    </w:p>
    <w:p>
      <w:pPr>
        <w:pStyle w:val="ListParagraph"/>
        <w:numPr>
          <w:ilvl w:val="0"/>
          <w:numId w:val="2"/>
        </w:numPr>
        <w:spacing w:after="80" w:line="276"/>
        <w:jc w:val="both"/>
      </w:pPr>
      <w:r>
        <w:rPr>
          <w:rFonts w:ascii="Times New Roman" w:cs="Times New Roman" w:eastAsia="Times New Roman" w:hAnsi="Times New Roman"/>
          <w:sz w:val="22"/>
          <w:szCs w:val="22"/>
        </w:rPr>
        <w:t xml:space="preserve">Перевод типов Posit/Unum III и тейперированных takum из структурных в битоточные через оракул libtakum.</w:t>
      </w:r>
    </w:p>
    <w:p>
      <w:pPr>
        <w:pStyle w:val="ListParagraph"/>
        <w:numPr>
          <w:ilvl w:val="0"/>
          <w:numId w:val="2"/>
        </w:numPr>
        <w:spacing w:after="80" w:line="276"/>
        <w:jc w:val="both"/>
      </w:pPr>
      <w:r>
        <w:rPr>
          <w:rFonts w:ascii="Times New Roman" w:cs="Times New Roman" w:eastAsia="Times New Roman" w:hAnsi="Times New Roman"/>
          <w:sz w:val="22"/>
          <w:szCs w:val="22"/>
        </w:rPr>
        <w:t xml:space="preserve">Закрепление смещений (bias) для широких вариантов GoldenFloat (GF128–GF1024), пока остающихся открытыми ИОКР-параметрами и потому записанных структурно.</w:t>
      </w:r>
    </w:p>
    <w:p>
      <w:pPr>
        <w:pStyle w:val="Heading2"/>
        <w:spacing w:after="110" w:before="220"/>
      </w:pPr>
      <w:r>
        <w:rPr>
          <w:rFonts w:ascii="Times New Roman" w:cs="Times New Roman" w:eastAsia="Times New Roman" w:hAnsi="Times New Roman"/>
          <w:b/>
          <w:bCs/>
          <w:color w:val="000000"/>
          <w:sz w:val="26"/>
          <w:szCs w:val="26"/>
        </w:rPr>
        <w:t xml:space="preserve">9.2. Соответствие на уровне операций</w:t>
      </w:r>
    </w:p>
    <w:p>
      <w:pPr>
        <w:spacing w:after="120" w:line="360"/>
        <w:ind w:firstLine="283"/>
        <w:jc w:val="both"/>
      </w:pPr>
      <w:r>
        <w:rPr>
          <w:rFonts w:ascii="Times New Roman" w:cs="Times New Roman" w:eastAsia="Times New Roman" w:hAnsi="Times New Roman"/>
          <w:sz w:val="22"/>
          <w:szCs w:val="22"/>
        </w:rPr>
        <w:t xml:space="preserve">Текущий набор охватывает только уровень представления. Трек 2 добавит векторы уровня операций, согласованные с подмножеством </w:t>
      </w:r>
      <w:r>
        <w:rPr>
          <w:rFonts w:ascii="Consolas" w:cs="Consolas" w:eastAsia="Consolas" w:hAnsi="Consolas"/>
          <w:sz w:val="22"/>
          <w:szCs w:val="22"/>
        </w:rPr>
        <w:t xml:space="preserve">StandardOperations.yaml</w:t>
      </w:r>
      <w:r>
        <w:rPr>
          <w:rFonts w:ascii="Times New Roman" w:cs="Times New Roman" w:eastAsia="Times New Roman" w:hAnsi="Times New Roman"/>
          <w:sz w:val="22"/>
          <w:szCs w:val="22"/>
        </w:rPr>
        <w:t xml:space="preserve"> стандарта P3109, начиная с округления NearestTiesToEven для сложения, умножения и FMA по шести форматам Tier-1. Это позволит командам компиляторов и оборудования проверять не только корректность кодирования/декодирования, но и согласие их арифметических операций со стандартом на битовом уровне.</w:t>
      </w:r>
    </w:p>
    <w:p>
      <w:pPr>
        <w:pStyle w:val="Heading2"/>
        <w:spacing w:after="110" w:before="220"/>
      </w:pPr>
      <w:r>
        <w:rPr>
          <w:rFonts w:ascii="Times New Roman" w:cs="Times New Roman" w:eastAsia="Times New Roman" w:hAnsi="Times New Roman"/>
          <w:b/>
          <w:bCs/>
          <w:color w:val="000000"/>
          <w:sz w:val="26"/>
          <w:szCs w:val="26"/>
        </w:rPr>
        <w:t xml:space="preserve">9.3. Фаззинг циклического кодирования-декодирования</w:t>
      </w:r>
    </w:p>
    <w:p>
      <w:pPr>
        <w:spacing w:after="120" w:line="360"/>
        <w:ind w:firstLine="283"/>
        <w:jc w:val="both"/>
      </w:pPr>
      <w:r>
        <w:rPr>
          <w:rFonts w:ascii="Times New Roman" w:cs="Times New Roman" w:eastAsia="Times New Roman" w:hAnsi="Times New Roman"/>
          <w:sz w:val="22"/>
          <w:szCs w:val="22"/>
        </w:rPr>
        <w:t xml:space="preserve">Фаззер на основе свойств дополнит созданные вручную граничные векторы. Фаззер будет генерировать случайные входы FP32, применять кодирование/декодирование для каждого формата и проверять свойство циклического кодирования-декодирования и согласованность abs_error. Это особенно ценно для форматов со сложным поведением насыщения.</w:t>
      </w:r>
    </w:p>
    <w:p>
      <w:pPr>
        <w:pStyle w:val="Heading2"/>
        <w:spacing w:after="110" w:before="220"/>
      </w:pPr>
      <w:r>
        <w:rPr>
          <w:rFonts w:ascii="Times New Roman" w:cs="Times New Roman" w:eastAsia="Times New Roman" w:hAnsi="Times New Roman"/>
          <w:b/>
          <w:bCs/>
          <w:color w:val="000000"/>
          <w:sz w:val="26"/>
          <w:szCs w:val="26"/>
        </w:rPr>
        <w:t xml:space="preserve">9.4. Открытые приглашения</w:t>
      </w:r>
    </w:p>
    <w:p>
      <w:pPr>
        <w:spacing w:after="120" w:line="360"/>
        <w:ind w:firstLine="283"/>
        <w:jc w:val="both"/>
      </w:pPr>
      <w:r>
        <w:rPr>
          <w:rFonts w:ascii="Times New Roman" w:cs="Times New Roman" w:eastAsia="Times New Roman" w:hAnsi="Times New Roman"/>
          <w:sz w:val="22"/>
          <w:szCs w:val="22"/>
        </w:rPr>
        <w:t xml:space="preserve">Наиболее полезный непосредственный следующий шаг — чтобы независимый сопровождающий взял любой отдельный пакет соответствия, запустил его относительно собственной реализации и сообщил о расхождениях в виде задач (issues) на GitHub в </w:t>
      </w:r>
      <w:r>
        <w:rPr>
          <w:rFonts w:ascii="Consolas" w:cs="Consolas" w:eastAsia="Consolas" w:hAnsi="Consolas"/>
          <w:sz w:val="22"/>
          <w:szCs w:val="22"/>
        </w:rPr>
        <w:t xml:space="preserve">gHashTag/t27</w:t>
      </w:r>
      <w:r>
        <w:rPr>
          <w:rFonts w:ascii="Times New Roman" w:cs="Times New Roman" w:eastAsia="Times New Roman" w:hAnsi="Times New Roman"/>
          <w:sz w:val="22"/>
          <w:szCs w:val="22"/>
        </w:rPr>
        <w:t xml:space="preserve">. В частности:</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ml_dtypes: </w:t>
      </w:r>
      <w:r>
        <w:rPr>
          <w:rFonts w:ascii="Times New Roman" w:cs="Times New Roman" w:eastAsia="Times New Roman" w:hAnsi="Times New Roman"/>
          <w:sz w:val="22"/>
          <w:szCs w:val="22"/>
        </w:rPr>
        <w:t xml:space="preserve">подтвердить совпадение 21/21 по BF16 и результаты 15/16 + 17/17 по FP8 относительно последнего выпуска 0.5.x.</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Рабочая группа OCP MX: </w:t>
      </w:r>
      <w:r>
        <w:rPr>
          <w:rFonts w:ascii="Times New Roman" w:cs="Times New Roman" w:eastAsia="Times New Roman" w:hAnsi="Times New Roman"/>
          <w:sz w:val="22"/>
          <w:szCs w:val="22"/>
        </w:rPr>
        <w:t xml:space="preserve">проверить векторы элемента MXFP4 и блочного масштаба E8M0 относительно эталонной таблицы MX v1.0.</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Редакторы IEEE P3109: </w:t>
      </w:r>
      <w:r>
        <w:rPr>
          <w:rFonts w:ascii="Times New Roman" w:cs="Times New Roman" w:eastAsia="Times New Roman" w:hAnsi="Times New Roman"/>
          <w:sz w:val="22"/>
          <w:szCs w:val="22"/>
        </w:rPr>
        <w:t xml:space="preserve">перекрёстно проверить строки Binary8p3se / Binary4p1sf в таблице 6 относительно промежуточного отчёта v3.2.x.</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NVIDIA NVFP4: </w:t>
      </w:r>
      <w:r>
        <w:rPr>
          <w:rFonts w:ascii="Times New Roman" w:cs="Times New Roman" w:eastAsia="Times New Roman" w:hAnsi="Times New Roman"/>
          <w:sz w:val="22"/>
          <w:szCs w:val="22"/>
        </w:rPr>
        <w:t xml:space="preserve">подтвердить параметры 16-элементного блока / масштаба FP8 E4M3, использованные в разделе 7.2.</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Pychop, libtakum: </w:t>
      </w:r>
      <w:r>
        <w:rPr>
          <w:rFonts w:ascii="Times New Roman" w:cs="Times New Roman" w:eastAsia="Times New Roman" w:hAnsi="Times New Roman"/>
          <w:sz w:val="22"/>
          <w:szCs w:val="22"/>
        </w:rPr>
        <w:t xml:space="preserve">оракулы для уровня операций Трека 2 и подкомплекта Posit/Unum III соответственно.</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IREE, vLLM, llama.cpp, onnxruntime: </w:t>
      </w:r>
      <w:r>
        <w:rPr>
          <w:rFonts w:ascii="Times New Roman" w:cs="Times New Roman" w:eastAsia="Times New Roman" w:hAnsi="Times New Roman"/>
          <w:sz w:val="22"/>
          <w:szCs w:val="22"/>
        </w:rPr>
        <w:t xml:space="preserve">интеграторы, наиболее вероятно затрагиваемые разрывом переполнения FP8 E4M3 при межвендорных развёртываниях.</w:t>
      </w:r>
    </w:p>
    <w:p>
      <w:pPr>
        <w:spacing w:after="120" w:line="360"/>
        <w:ind w:firstLine="283"/>
        <w:jc w:val="both"/>
      </w:pPr>
      <w:r>
        <w:rPr>
          <w:rFonts w:ascii="Times New Roman" w:cs="Times New Roman" w:eastAsia="Times New Roman" w:hAnsi="Times New Roman"/>
          <w:sz w:val="22"/>
          <w:szCs w:val="22"/>
        </w:rPr>
        <w:t xml:space="preserve">Любое найденное новое расхождение — это особенность линейки, а не отказ набора тестов.</w:t>
      </w:r>
    </w:p>
    <w:p>
      <w:pPr>
        <w:spacing w:after="120" w:line="360"/>
        <w:ind w:firstLine="283"/>
        <w:jc w:val="both"/>
      </w:pPr>
      <w:r>
        <w:rPr>
          <w:rFonts w:ascii="Times New Roman" w:cs="Times New Roman" w:eastAsia="Times New Roman" w:hAnsi="Times New Roman"/>
          <w:sz w:val="22"/>
          <w:szCs w:val="22"/>
        </w:rPr>
        <w:t xml:space="preserve">Пакеты соответствия, схема каталога и шаблоны кодогенерации лицензированы открыто с намерением, чтобы они стали общим ресурсом сообщества для вендор-нейтральной работы с реестром численных форматов.</w:t>
      </w:r>
    </w:p>
    <w:p>
      <w:pPr>
        <w:pStyle w:val="Heading1"/>
        <w:spacing w:after="140" w:before="280"/>
      </w:pPr>
      <w:r>
        <w:rPr>
          <w:rFonts w:ascii="Times New Roman" w:cs="Times New Roman" w:eastAsia="Times New Roman" w:hAnsi="Times New Roman"/>
          <w:b/>
          <w:bCs/>
          <w:color w:val="000000"/>
          <w:sz w:val="30"/>
          <w:szCs w:val="30"/>
        </w:rPr>
        <w:t xml:space="preserve">10. Ограничения</w:t>
      </w:r>
    </w:p>
    <w:p>
      <w:pPr>
        <w:spacing w:after="120" w:line="360"/>
        <w:ind w:firstLine="283"/>
        <w:jc w:val="both"/>
      </w:pPr>
      <w:r>
        <w:rPr>
          <w:rFonts w:ascii="Times New Roman" w:cs="Times New Roman" w:eastAsia="Times New Roman" w:hAnsi="Times New Roman"/>
          <w:sz w:val="22"/>
          <w:szCs w:val="22"/>
        </w:rPr>
        <w:t xml:space="preserve">Настоящие каталог и набор тестов соответствия намеренно ограничены по охвату, и мы явно формулируем граничные условия, чтобы последующие пользователи могли решить, на какие утверждения полагаться.</w:t>
      </w:r>
    </w:p>
    <w:p>
      <w:pPr>
        <w:spacing w:after="120" w:line="360"/>
        <w:ind w:firstLine="283"/>
        <w:jc w:val="both"/>
      </w:pPr>
      <w:r>
        <w:rPr>
          <w:rFonts w:ascii="Times New Roman" w:cs="Times New Roman" w:eastAsia="Times New Roman" w:hAnsi="Times New Roman"/>
          <w:b/>
          <w:bCs/>
          <w:sz w:val="22"/>
          <w:szCs w:val="22"/>
        </w:rPr>
        <w:t xml:space="preserve">Уровень элемента, а не уровень операций. </w:t>
      </w:r>
      <w:r>
        <w:rPr>
          <w:rFonts w:ascii="Times New Roman" w:cs="Times New Roman" w:eastAsia="Times New Roman" w:hAnsi="Times New Roman"/>
          <w:sz w:val="22"/>
          <w:szCs w:val="22"/>
        </w:rPr>
        <w:t xml:space="preserve">Все шесть пакетов уровня Tier-1 проверяют поведение циклического кодирования-декодирования на уровне элемента: значение кодируется в битовый паттерн, декодируется обратно, и результат сравнивается с эталонным оракулом. Пакеты не проверяют семантику уровня операций — умножение, накопление, активацию или ядра слитного умножения-накопления (FMA). Соответствие уровня операций (Трек 2, раздел 9.2) признаётся естественным следующим слоем, но выходит за рамки настоящего препринта.</w:t>
      </w:r>
    </w:p>
    <w:p>
      <w:pPr>
        <w:spacing w:after="120" w:line="360"/>
        <w:ind w:firstLine="283"/>
        <w:jc w:val="both"/>
      </w:pPr>
      <w:r>
        <w:rPr>
          <w:rFonts w:ascii="Times New Roman" w:cs="Times New Roman" w:eastAsia="Times New Roman" w:hAnsi="Times New Roman"/>
          <w:b/>
          <w:bCs/>
          <w:sz w:val="22"/>
          <w:szCs w:val="22"/>
        </w:rPr>
        <w:t xml:space="preserve">Единственный эталонный оракул. </w:t>
      </w:r>
      <w:r>
        <w:rPr>
          <w:rFonts w:ascii="Times New Roman" w:cs="Times New Roman" w:eastAsia="Times New Roman" w:hAnsi="Times New Roman"/>
          <w:sz w:val="22"/>
          <w:szCs w:val="22"/>
        </w:rPr>
        <w:t xml:space="preserve">Пакеты уровня Tier-1 используют </w:t>
      </w:r>
      <w:r>
        <w:rPr>
          <w:rFonts w:ascii="Consolas" w:cs="Consolas" w:eastAsia="Consolas" w:hAnsi="Consolas"/>
          <w:sz w:val="22"/>
          <w:szCs w:val="22"/>
        </w:rPr>
        <w:t xml:space="preserve">ml_dtypes</w:t>
      </w:r>
      <w:r>
        <w:rPr>
          <w:rFonts w:ascii="Times New Roman" w:cs="Times New Roman" w:eastAsia="Times New Roman" w:hAnsi="Times New Roman"/>
          <w:sz w:val="22"/>
          <w:szCs w:val="22"/>
        </w:rPr>
        <w:t xml:space="preserve"> как эталонную реализацию, с одним хорошо задокументированным расхождением по переполнению FP8 E4M3 (раздел 7.1). Независимо реализованный оракул — например, libtakum для Posit/Unum III или Pychop для уровня операций Трека 2 — пока не подключён к стенду верификации. Расхождения, прослеживаемые к смещению одного оракула, в настоящее время нельзя исключить для форматов вне подмножества BF16 / FP8 / MXFP4 / E8M0.</w:t>
      </w:r>
    </w:p>
    <w:p>
      <w:pPr>
        <w:spacing w:after="120" w:line="360"/>
        <w:ind w:firstLine="283"/>
        <w:jc w:val="both"/>
      </w:pPr>
      <w:r>
        <w:rPr>
          <w:rFonts w:ascii="Times New Roman" w:cs="Times New Roman" w:eastAsia="Times New Roman" w:hAnsi="Times New Roman"/>
          <w:b/>
          <w:bCs/>
          <w:sz w:val="22"/>
          <w:szCs w:val="22"/>
        </w:rPr>
        <w:t xml:space="preserve">Покрытие каталога асимметрично. </w:t>
      </w:r>
      <w:r>
        <w:rPr>
          <w:rFonts w:ascii="Times New Roman" w:cs="Times New Roman" w:eastAsia="Times New Roman" w:hAnsi="Times New Roman"/>
          <w:sz w:val="22"/>
          <w:szCs w:val="22"/>
        </w:rPr>
        <w:t xml:space="preserve">Каталог из 83 строк (раздел 3) охватывает 13 кластеров форматов, но глубина покрытия неравномерна. IEEE 754 binary, BF16, FP8 (E4M3/E5M2), MXFP4 и семейство GoldenFloat GFN покрыты полными схемами строк, таксономией статусов утверждений и соответствующими пакетами Tier-1, где применимо. Строки Posit/Unum III, логарифмические системы счисления (LNS), NF4, BitNet, TF32 и FP6 присутствуют, но в настоящее время лишены пакетов Tier-1; их поля статуса утверждений заполнены, но ещё не проверены сквозным образом относительно оракула. Это сделано намеренно — каталог в первую очередь реестр, а во вторую — стенд верификации — но это означает, что отсутствие пакета соответствия не следует трактовать как утверждение о качестве.</w:t>
      </w:r>
    </w:p>
    <w:p>
      <w:pPr>
        <w:spacing w:after="120" w:line="360"/>
        <w:ind w:firstLine="283"/>
        <w:jc w:val="both"/>
      </w:pPr>
      <w:r>
        <w:rPr>
          <w:rFonts w:ascii="Times New Roman" w:cs="Times New Roman" w:eastAsia="Times New Roman" w:hAnsi="Times New Roman"/>
          <w:b/>
          <w:bCs/>
          <w:sz w:val="22"/>
          <w:szCs w:val="22"/>
        </w:rPr>
        <w:t xml:space="preserve">NVFP4 задокументирован, но не упакован. </w:t>
      </w:r>
      <w:r>
        <w:rPr>
          <w:rFonts w:ascii="Times New Roman" w:cs="Times New Roman" w:eastAsia="Times New Roman" w:hAnsi="Times New Roman"/>
          <w:sz w:val="22"/>
          <w:szCs w:val="22"/>
        </w:rPr>
        <w:t xml:space="preserve">Разрыв B (раздел 7.2) задокументирован на структурном уровне таблицей параметров, но соответствующий пакет NVFP4 уровня Tier-1 пока не включён в этот препринт. Количественные межпакетные векторы расхождений на представительных границах квантования масштаба перечислены как первый результат Трека 2 (раздел 9.1).</w:t>
      </w:r>
    </w:p>
    <w:p>
      <w:pPr>
        <w:spacing w:after="120" w:line="360"/>
        <w:ind w:firstLine="283"/>
        <w:jc w:val="both"/>
      </w:pPr>
      <w:r>
        <w:rPr>
          <w:rFonts w:ascii="Times New Roman" w:cs="Times New Roman" w:eastAsia="Times New Roman" w:hAnsi="Times New Roman"/>
          <w:b/>
          <w:bCs/>
          <w:sz w:val="22"/>
          <w:szCs w:val="22"/>
        </w:rPr>
        <w:t xml:space="preserve">Никаких утверждений об оптимальности. </w:t>
      </w:r>
      <w:r>
        <w:rPr>
          <w:rFonts w:ascii="Times New Roman" w:cs="Times New Roman" w:eastAsia="Times New Roman" w:hAnsi="Times New Roman"/>
          <w:sz w:val="22"/>
          <w:szCs w:val="22"/>
        </w:rPr>
        <w:t xml:space="preserve">Каталог не утверждает, что какой-либо включённый формат является наилучшим для какой-либо последующей задачи. Сравнения касаются интерпретации в рамках спецификации, а не точности, пропускной способности, энергопотребления или качества модели. Бенчмарки, ранжирующие форматы по точности или перплексии, выходят за рамки этой работы; настоящий вклад — это вендор-нейтральный справочник, а не конкурентная оценка.</w:t>
      </w:r>
    </w:p>
    <w:p>
      <w:pPr>
        <w:spacing w:after="120" w:line="360"/>
        <w:ind w:firstLine="283"/>
        <w:jc w:val="both"/>
      </w:pPr>
      <w:r>
        <w:rPr>
          <w:rFonts w:ascii="Times New Roman" w:cs="Times New Roman" w:eastAsia="Times New Roman" w:hAnsi="Times New Roman"/>
          <w:b/>
          <w:bCs/>
          <w:sz w:val="22"/>
          <w:szCs w:val="22"/>
        </w:rPr>
        <w:t xml:space="preserve">Честная abs_error, а не нулевая abs_error. </w:t>
      </w:r>
      <w:r>
        <w:rPr>
          <w:rFonts w:ascii="Times New Roman" w:cs="Times New Roman" w:eastAsia="Times New Roman" w:hAnsi="Times New Roman"/>
          <w:sz w:val="22"/>
          <w:szCs w:val="22"/>
        </w:rPr>
        <w:t xml:space="preserve">Норма честности из раздела 7.3 требует, чтобы каждый вектор с ненулевой ошибкой декодирования сообщал фактическую величину. Это заставляет набор выглядеть хуже, чем набор, маскирующий переполнение-в-Inf или потерю-значимости-в-ноль как «совпадение». Потребители, сравнивающие настоящие результаты с наборами, подавляющими такие поля, должны нормализовать сравнение перед выводами.</w:t>
      </w:r>
    </w:p>
    <w:p>
      <w:pPr>
        <w:spacing w:after="120" w:line="360"/>
        <w:ind w:firstLine="283"/>
        <w:jc w:val="both"/>
      </w:pPr>
      <w:r>
        <w:rPr>
          <w:rFonts w:ascii="Times New Roman" w:cs="Times New Roman" w:eastAsia="Times New Roman" w:hAnsi="Times New Roman"/>
          <w:b/>
          <w:bCs/>
          <w:sz w:val="22"/>
          <w:szCs w:val="22"/>
        </w:rPr>
        <w:t xml:space="preserve">Конверт воспроизводимости. </w:t>
      </w:r>
      <w:r>
        <w:rPr>
          <w:rFonts w:ascii="Times New Roman" w:cs="Times New Roman" w:eastAsia="Times New Roman" w:hAnsi="Times New Roman"/>
          <w:sz w:val="22"/>
          <w:szCs w:val="22"/>
        </w:rPr>
        <w:t xml:space="preserve">Все якоря SHA-256, коммиты репозиториев и манифесты пакетов, приведённые в разделе 8, были проверены на момент написания. Долгосрочная воспроизводимость зависит от доступности вышестоящих источников </w:t>
      </w:r>
      <w:r>
        <w:rPr>
          <w:rFonts w:ascii="Consolas" w:cs="Consolas" w:eastAsia="Consolas" w:hAnsi="Consolas"/>
          <w:sz w:val="22"/>
          <w:szCs w:val="22"/>
        </w:rPr>
        <w:t xml:space="preserve">ml_dtypes</w:t>
      </w:r>
      <w:r>
        <w:rPr>
          <w:rFonts w:ascii="Times New Roman" w:cs="Times New Roman" w:eastAsia="Times New Roman" w:hAnsi="Times New Roman"/>
          <w:sz w:val="22"/>
          <w:szCs w:val="22"/>
        </w:rPr>
        <w:t xml:space="preserve">, спецификации OCP MX и промежуточного документа IEEE P3109; если какой-либо из них станет недоступен, стенду верификации потребуется слой зеркалирования, который в настоящее время не реализован.</w:t>
      </w:r>
    </w:p>
    <w:p>
      <w:pPr>
        <w:spacing w:after="120" w:line="360"/>
        <w:ind w:firstLine="283"/>
        <w:jc w:val="both"/>
      </w:pPr>
      <w:r>
        <w:rPr>
          <w:rFonts w:ascii="Times New Roman" w:cs="Times New Roman" w:eastAsia="Times New Roman" w:hAnsi="Times New Roman"/>
          <w:b/>
          <w:bCs/>
          <w:sz w:val="22"/>
          <w:szCs w:val="22"/>
        </w:rPr>
        <w:t xml:space="preserve">Отсутствие зависимости от неопубликованных работ. </w:t>
      </w:r>
      <w:r>
        <w:rPr>
          <w:rFonts w:ascii="Times New Roman" w:cs="Times New Roman" w:eastAsia="Times New Roman" w:hAnsi="Times New Roman"/>
          <w:sz w:val="22"/>
          <w:szCs w:val="22"/>
        </w:rPr>
        <w:t xml:space="preserve">Результаты этой статьи — каталог из 83 форматов, полный набор пакетов соответствия на все 83 формата (75 битоточных + 0 самосогласованных + 8 структурных) с углублённо проверенным подмножеством Tier-1 из шести пакетов, кросс-уолк к P3109 v3.2.0 и два задокументированных интерпретационных разрыва — зависят только от артефактов, процитированных в библиографии и публично доступных (репозитории с открытой лицензией, опубликованные стандарты и препринт arXiv GoldenFloat). Ни одно утверждение, таблица или теорема в этой статье не опирается на неопубликованные или находящиеся на рецензировании рукописи. Предстоящие последующие работы по смежным темам упоминаются только как направление будущей работы в разделе 9 и явно выходят за рамки настоящего изложения.</w:t>
      </w:r>
    </w:p>
    <w:p>
      <w:pPr>
        <w:spacing w:after="120" w:line="360"/>
        <w:ind w:firstLine="283"/>
        <w:jc w:val="both"/>
      </w:pPr>
      <w:r>
        <w:rPr>
          <w:rFonts w:ascii="Times New Roman" w:cs="Times New Roman" w:eastAsia="Times New Roman" w:hAnsi="Times New Roman"/>
          <w:sz w:val="22"/>
          <w:szCs w:val="22"/>
        </w:rPr>
        <w:t xml:space="preserve">Ни одно из этих ограничений не меняет центрального утверждения статьи: каталог из 83 форматов с полным набором пакетов соответствия на все 83 формата (75 битоточных + 0 самосогласованных + 8 структурных), углублённо проверенным подмножеством Tier-1 из шести пакетов, кросс-уолком к IEEE P3109 и двумя задокументированными интерпретационными разрывами теперь является пригодным, воспроизводимым вендор-нейтральным справочником. Они очерчивают то, чем артефакт является, в отличие от того, чем он не является.</w:t>
      </w:r>
    </w:p>
    <w:p>
      <w:pPr>
        <w:pStyle w:val="Heading1"/>
        <w:spacing w:after="140" w:before="280"/>
      </w:pPr>
      <w:r>
        <w:rPr>
          <w:rFonts w:ascii="Times New Roman" w:cs="Times New Roman" w:eastAsia="Times New Roman" w:hAnsi="Times New Roman"/>
          <w:b/>
          <w:bCs/>
          <w:color w:val="000000"/>
          <w:sz w:val="30"/>
          <w:szCs w:val="30"/>
        </w:rPr>
        <w:t xml:space="preserve">Благодарности</w:t>
      </w:r>
    </w:p>
    <w:p>
      <w:pPr>
        <w:spacing w:after="120" w:line="360"/>
        <w:ind w:firstLine="283"/>
        <w:jc w:val="both"/>
      </w:pPr>
      <w:r>
        <w:rPr>
          <w:rFonts w:ascii="Times New Roman" w:cs="Times New Roman" w:eastAsia="Times New Roman" w:hAnsi="Times New Roman"/>
          <w:sz w:val="22"/>
          <w:szCs w:val="22"/>
        </w:rPr>
        <w:t xml:space="preserve">Автор благодарит сопровождающих </w:t>
      </w:r>
      <w:r>
        <w:rPr>
          <w:rFonts w:ascii="Consolas" w:cs="Consolas" w:eastAsia="Consolas" w:hAnsi="Consolas"/>
          <w:sz w:val="22"/>
          <w:szCs w:val="22"/>
        </w:rPr>
        <w:t xml:space="preserve">ml_dtypes</w:t>
      </w:r>
      <w:r>
        <w:rPr>
          <w:rFonts w:ascii="Times New Roman" w:cs="Times New Roman" w:eastAsia="Times New Roman" w:hAnsi="Times New Roman"/>
          <w:sz w:val="22"/>
          <w:szCs w:val="22"/>
        </w:rPr>
        <w:t xml:space="preserve"> (Google/JAX) за предоставление эталонной реализации, а рабочую группу OCP Microscaling — за публикацию спецификации MX v1.0 в открытом доступе. Эта работа была выполнена в Trinity S³AI автором (ORCID 0009-0008-4294-6159). Автор благодарит рецензентов Tenstorrent tt-metal </w:t>
      </w:r>
      <w:r>
        <w:rPr>
          <w:rFonts w:ascii="Consolas" w:cs="Consolas" w:eastAsia="Consolas" w:hAnsi="Consolas"/>
          <w:sz w:val="22"/>
          <w:szCs w:val="22"/>
        </w:rPr>
        <w:t xml:space="preserve">@amahmudTT</w:t>
      </w:r>
      <w:r>
        <w:rPr>
          <w:rFonts w:ascii="Times New Roman" w:cs="Times New Roman" w:eastAsia="Times New Roman" w:hAnsi="Times New Roman"/>
          <w:sz w:val="22"/>
          <w:szCs w:val="22"/>
        </w:rPr>
        <w:t xml:space="preserve"> и </w:t>
      </w:r>
      <w:r>
        <w:rPr>
          <w:rFonts w:ascii="Consolas" w:cs="Consolas" w:eastAsia="Consolas" w:hAnsi="Consolas"/>
          <w:sz w:val="22"/>
          <w:szCs w:val="22"/>
        </w:rPr>
        <w:t xml:space="preserve">@rtawfik01</w:t>
      </w:r>
      <w:r>
        <w:rPr>
          <w:rFonts w:ascii="Times New Roman" w:cs="Times New Roman" w:eastAsia="Times New Roman" w:hAnsi="Times New Roman"/>
          <w:sz w:val="22"/>
          <w:szCs w:val="22"/>
        </w:rPr>
        <w:t xml:space="preserve"> за содержательную обратную связь по смежным веткам соответствия FP8, которая повлияла на постановку раздела 7. Никакой внешней финансовой поддержки в подготовке этого препринта не использовалось.</w:t>
      </w:r>
    </w:p>
    <w:p>
      <w:pPr>
        <w:pStyle w:val="Heading1"/>
        <w:spacing w:after="140" w:before="280"/>
      </w:pPr>
      <w:r>
        <w:rPr>
          <w:rFonts w:ascii="Times New Roman" w:cs="Times New Roman" w:eastAsia="Times New Roman" w:hAnsi="Times New Roman"/>
          <w:b/>
          <w:bCs/>
          <w:color w:val="000000"/>
          <w:sz w:val="30"/>
          <w:szCs w:val="30"/>
        </w:rPr>
        <w:t xml:space="preserve">Список литературы</w:t>
      </w:r>
    </w:p>
    <w:p>
      <w:pPr>
        <w:spacing w:after="80" w:line="264"/>
        <w:ind w:left="480" w:hanging="480"/>
        <w:jc w:val="both"/>
      </w:pPr>
      <w:r>
        <w:rPr>
          <w:rFonts w:ascii="Times New Roman" w:cs="Times New Roman" w:eastAsia="Times New Roman" w:hAnsi="Times New Roman"/>
          <w:b/>
          <w:bCs/>
          <w:sz w:val="21"/>
          <w:szCs w:val="21"/>
        </w:rPr>
        <w:t xml:space="preserve">[1] </w:t>
      </w:r>
      <w:r>
        <w:rPr>
          <w:rFonts w:ascii="Times New Roman" w:cs="Times New Roman" w:eastAsia="Times New Roman" w:hAnsi="Times New Roman"/>
          <w:sz w:val="21"/>
          <w:szCs w:val="21"/>
        </w:rPr>
        <w:t xml:space="preserve">D. Vasilev, «GoldenFloat: A phi-anchored numeric format family and the identity φ² + 1/φ² = 3», arXiv:2606.05017, 2026. https://arxiv.org/abs/2606.05017</w:t>
      </w:r>
    </w:p>
    <w:p>
      <w:pPr>
        <w:spacing w:after="80" w:line="264"/>
        <w:ind w:left="480" w:hanging="480"/>
        <w:jc w:val="both"/>
      </w:pPr>
      <w:r>
        <w:rPr>
          <w:rFonts w:ascii="Times New Roman" w:cs="Times New Roman" w:eastAsia="Times New Roman" w:hAnsi="Times New Roman"/>
          <w:b/>
          <w:bCs/>
          <w:sz w:val="21"/>
          <w:szCs w:val="21"/>
        </w:rPr>
        <w:t xml:space="preserve">[2] </w:t>
      </w:r>
      <w:r>
        <w:rPr>
          <w:rFonts w:ascii="Times New Roman" w:cs="Times New Roman" w:eastAsia="Times New Roman" w:hAnsi="Times New Roman"/>
          <w:sz w:val="21"/>
          <w:szCs w:val="21"/>
        </w:rPr>
        <w:t xml:space="preserve">C. Hunhold, «Takum arithmetic: A new paradigm for low-precision numerics», arXiv:2412.20273, 2024. https://arxiv.org/abs/2412.20273</w:t>
      </w:r>
    </w:p>
    <w:p>
      <w:pPr>
        <w:spacing w:after="80" w:line="264"/>
        <w:ind w:left="480" w:hanging="480"/>
        <w:jc w:val="both"/>
      </w:pPr>
      <w:r>
        <w:rPr>
          <w:rFonts w:ascii="Times New Roman" w:cs="Times New Roman" w:eastAsia="Times New Roman" w:hAnsi="Times New Roman"/>
          <w:b/>
          <w:bCs/>
          <w:sz w:val="21"/>
          <w:szCs w:val="21"/>
        </w:rPr>
        <w:t xml:space="preserve">[3] </w:t>
      </w:r>
      <w:r>
        <w:rPr>
          <w:rFonts w:ascii="Times New Roman" w:cs="Times New Roman" w:eastAsia="Times New Roman" w:hAnsi="Times New Roman"/>
          <w:sz w:val="21"/>
          <w:szCs w:val="21"/>
        </w:rPr>
        <w:t xml:space="preserve">C. Park, J.-H. Lim, S. Nagarakatte, «ProofWright: Towards verified floating-point arithmetic», arXiv:2511.12294v2, 2025. https://arxiv.org/abs/2511.12294</w:t>
      </w:r>
    </w:p>
    <w:p>
      <w:pPr>
        <w:spacing w:after="80" w:line="264"/>
        <w:ind w:left="480" w:hanging="480"/>
        <w:jc w:val="both"/>
      </w:pPr>
      <w:r>
        <w:rPr>
          <w:rFonts w:ascii="Times New Roman" w:cs="Times New Roman" w:eastAsia="Times New Roman" w:hAnsi="Times New Roman"/>
          <w:b/>
          <w:bCs/>
          <w:sz w:val="21"/>
          <w:szCs w:val="21"/>
        </w:rPr>
        <w:t xml:space="preserve">[4] </w:t>
      </w:r>
      <w:r>
        <w:rPr>
          <w:rFonts w:ascii="Times New Roman" w:cs="Times New Roman" w:eastAsia="Times New Roman" w:hAnsi="Times New Roman"/>
          <w:sz w:val="21"/>
          <w:szCs w:val="21"/>
        </w:rPr>
        <w:t xml:space="preserve">C. Chang, C. Park, J.-H. Lim, S. Nagarakatte, «P3109 FLoPS: A Lean 4 formalization of IEEE P3109 floating-point semantics», arXiv:2602.15965, 2026. https://arxiv.org/abs/2602.15965</w:t>
      </w:r>
    </w:p>
    <w:p>
      <w:pPr>
        <w:spacing w:after="80" w:line="264"/>
        <w:ind w:left="480" w:hanging="480"/>
        <w:jc w:val="both"/>
      </w:pPr>
      <w:r>
        <w:rPr>
          <w:rFonts w:ascii="Times New Roman" w:cs="Times New Roman" w:eastAsia="Times New Roman" w:hAnsi="Times New Roman"/>
          <w:b/>
          <w:bCs/>
          <w:sz w:val="21"/>
          <w:szCs w:val="21"/>
        </w:rPr>
        <w:t xml:space="preserve">[5] </w:t>
      </w:r>
      <w:r>
        <w:rPr>
          <w:rFonts w:ascii="Times New Roman" w:cs="Times New Roman" w:eastAsia="Times New Roman" w:hAnsi="Times New Roman"/>
          <w:sz w:val="21"/>
          <w:szCs w:val="21"/>
        </w:rPr>
        <w:t xml:space="preserve">B. Rouhani et al., «Microscaling data formats for deep learning», arXiv:2310.10537, 2023. https://arxiv.org/abs/2310.10537</w:t>
      </w:r>
    </w:p>
    <w:p>
      <w:pPr>
        <w:spacing w:after="80" w:line="264"/>
        <w:ind w:left="480" w:hanging="480"/>
        <w:jc w:val="both"/>
      </w:pPr>
      <w:r>
        <w:rPr>
          <w:rFonts w:ascii="Times New Roman" w:cs="Times New Roman" w:eastAsia="Times New Roman" w:hAnsi="Times New Roman"/>
          <w:b/>
          <w:bCs/>
          <w:sz w:val="21"/>
          <w:szCs w:val="21"/>
        </w:rPr>
        <w:t xml:space="preserve">[6] </w:t>
      </w:r>
      <w:r>
        <w:rPr>
          <w:rFonts w:ascii="Times New Roman" w:cs="Times New Roman" w:eastAsia="Times New Roman" w:hAnsi="Times New Roman"/>
          <w:sz w:val="21"/>
          <w:szCs w:val="21"/>
        </w:rPr>
        <w:t xml:space="preserve">A. Ouyang et al., «KernelBench: Can LLMs write efficient GPU kernels?», arXiv:2502.10517, 2025. https://arxiv.org/abs/2502.10517</w:t>
      </w:r>
    </w:p>
    <w:p>
      <w:pPr>
        <w:spacing w:after="80" w:line="264"/>
        <w:ind w:left="480" w:hanging="480"/>
        <w:jc w:val="both"/>
      </w:pPr>
      <w:r>
        <w:rPr>
          <w:rFonts w:ascii="Times New Roman" w:cs="Times New Roman" w:eastAsia="Times New Roman" w:hAnsi="Times New Roman"/>
          <w:b/>
          <w:bCs/>
          <w:sz w:val="21"/>
          <w:szCs w:val="21"/>
        </w:rPr>
        <w:t xml:space="preserve">[7] </w:t>
      </w:r>
      <w:r>
        <w:rPr>
          <w:rFonts w:ascii="Times New Roman" w:cs="Times New Roman" w:eastAsia="Times New Roman" w:hAnsi="Times New Roman"/>
          <w:sz w:val="21"/>
          <w:szCs w:val="21"/>
        </w:rPr>
        <w:t xml:space="preserve">NVIDIA, «Introducing NVFP4 for efficient and accurate low-precision inference», NVIDIA Technical Blog, 2025. https://developer.nvidia.com/blog/introducing-nvfp4-for-efficient-and-accurate-low-precision-inference/</w:t>
      </w:r>
    </w:p>
    <w:p>
      <w:pPr>
        <w:spacing w:after="80" w:line="264"/>
        <w:ind w:left="480" w:hanging="480"/>
        <w:jc w:val="both"/>
      </w:pPr>
      <w:r>
        <w:rPr>
          <w:rFonts w:ascii="Times New Roman" w:cs="Times New Roman" w:eastAsia="Times New Roman" w:hAnsi="Times New Roman"/>
          <w:b/>
          <w:bCs/>
          <w:sz w:val="21"/>
          <w:szCs w:val="21"/>
        </w:rPr>
        <w:t xml:space="preserve">[8] </w:t>
      </w:r>
      <w:r>
        <w:rPr>
          <w:rFonts w:ascii="Times New Roman" w:cs="Times New Roman" w:eastAsia="Times New Roman" w:hAnsi="Times New Roman"/>
          <w:sz w:val="21"/>
          <w:szCs w:val="21"/>
        </w:rPr>
        <w:t xml:space="preserve">M. Wang et al., «M²XFP: A unified mixed-precision microscaling floating-point representation for next-generation AI accelerators», arXiv:2601.19213, 2026 (to appear, ASPLOS ’26). https://arxiv.org/abs/2601.19213</w:t>
      </w:r>
    </w:p>
    <w:p>
      <w:pPr>
        <w:spacing w:after="80" w:line="264"/>
        <w:ind w:left="480" w:hanging="480"/>
        <w:jc w:val="both"/>
      </w:pPr>
      <w:r>
        <w:rPr>
          <w:rFonts w:ascii="Times New Roman" w:cs="Times New Roman" w:eastAsia="Times New Roman" w:hAnsi="Times New Roman"/>
          <w:b/>
          <w:bCs/>
          <w:sz w:val="21"/>
          <w:szCs w:val="21"/>
        </w:rPr>
        <w:t xml:space="preserve">[9] </w:t>
      </w:r>
      <w:r>
        <w:rPr>
          <w:rFonts w:ascii="Times New Roman" w:cs="Times New Roman" w:eastAsia="Times New Roman" w:hAnsi="Times New Roman"/>
          <w:sz w:val="21"/>
          <w:szCs w:val="21"/>
        </w:rPr>
        <w:t xml:space="preserve">N. J. Higham, «Low-precision floating-point formats: The wild west of computer arithmetic», SIAM News, 2017. https://www.siam.org/publications/siam-news/</w:t>
      </w:r>
    </w:p>
    <w:p>
      <w:pPr>
        <w:spacing w:after="80" w:line="264"/>
        <w:ind w:left="480" w:hanging="480"/>
        <w:jc w:val="both"/>
      </w:pPr>
      <w:r>
        <w:rPr>
          <w:rFonts w:ascii="Times New Roman" w:cs="Times New Roman" w:eastAsia="Times New Roman" w:hAnsi="Times New Roman"/>
          <w:b/>
          <w:bCs/>
          <w:sz w:val="21"/>
          <w:szCs w:val="21"/>
        </w:rPr>
        <w:t xml:space="preserve">[10] </w:t>
      </w:r>
      <w:r>
        <w:rPr>
          <w:rFonts w:ascii="Times New Roman" w:cs="Times New Roman" w:eastAsia="Times New Roman" w:hAnsi="Times New Roman"/>
          <w:sz w:val="21"/>
          <w:szCs w:val="21"/>
        </w:rPr>
        <w:t xml:space="preserve">E. Carson, X. Chen, «Pychop: Emulating low-precision arithmetic in Python for ML and scientific computing», arXiv:2504.07835, 2025. https://arxiv.org/abs/2504.07835</w:t>
      </w:r>
    </w:p>
    <w:p>
      <w:pPr>
        <w:spacing w:after="80" w:line="264"/>
        <w:ind w:left="480" w:hanging="480"/>
        <w:jc w:val="both"/>
      </w:pPr>
      <w:r>
        <w:rPr>
          <w:rFonts w:ascii="Times New Roman" w:cs="Times New Roman" w:eastAsia="Times New Roman" w:hAnsi="Times New Roman"/>
          <w:b/>
          <w:bCs/>
          <w:sz w:val="21"/>
          <w:szCs w:val="21"/>
        </w:rPr>
        <w:t xml:space="preserve">[11] </w:t>
      </w:r>
      <w:r>
        <w:rPr>
          <w:rFonts w:ascii="Times New Roman" w:cs="Times New Roman" w:eastAsia="Times New Roman" w:hAnsi="Times New Roman"/>
          <w:sz w:val="21"/>
          <w:szCs w:val="21"/>
        </w:rPr>
        <w:t xml:space="preserve">C. M. Wintersteiger, «Floating-point conformance testing in industrial practice», Proc. IEEE ARITH 2025. https://arith2025.org/proceedings/215900a157.pdf</w:t>
      </w:r>
    </w:p>
    <w:p>
      <w:pPr>
        <w:spacing w:after="80" w:line="264"/>
        <w:ind w:left="480" w:hanging="480"/>
        <w:jc w:val="both"/>
      </w:pPr>
      <w:r>
        <w:rPr>
          <w:rFonts w:ascii="Times New Roman" w:cs="Times New Roman" w:eastAsia="Times New Roman" w:hAnsi="Times New Roman"/>
          <w:b/>
          <w:bCs/>
          <w:sz w:val="21"/>
          <w:szCs w:val="21"/>
        </w:rPr>
        <w:t xml:space="preserve">[12] </w:t>
      </w:r>
      <w:r>
        <w:rPr>
          <w:rFonts w:ascii="Times New Roman" w:cs="Times New Roman" w:eastAsia="Times New Roman" w:hAnsi="Times New Roman"/>
          <w:sz w:val="21"/>
          <w:szCs w:val="21"/>
        </w:rPr>
        <w:t xml:space="preserve">C. Hunhold, «libtakum: A reference C library for takum arithmetic», GitHub, 2024–2025. https://github.com/takum-arithmetic/libtakum</w:t>
      </w:r>
    </w:p>
    <w:p>
      <w:pPr>
        <w:spacing w:after="80" w:line="264"/>
        <w:ind w:left="480" w:hanging="480"/>
        <w:jc w:val="both"/>
      </w:pPr>
      <w:r>
        <w:rPr>
          <w:rFonts w:ascii="Times New Roman" w:cs="Times New Roman" w:eastAsia="Times New Roman" w:hAnsi="Times New Roman"/>
          <w:b/>
          <w:bCs/>
          <w:sz w:val="21"/>
          <w:szCs w:val="21"/>
        </w:rPr>
        <w:t xml:space="preserve">[13] </w:t>
      </w:r>
      <w:r>
        <w:rPr>
          <w:rFonts w:ascii="Times New Roman" w:cs="Times New Roman" w:eastAsia="Times New Roman" w:hAnsi="Times New Roman"/>
          <w:sz w:val="21"/>
          <w:szCs w:val="21"/>
        </w:rPr>
        <w:t xml:space="preserve">C. Hunhold, T. Quinlan, «Takum arithmetic in sparse iterative solvers: A precision-vs-storage study», arXiv:2412.20268, 2024. https://arxiv.org/abs/2412.20268</w:t>
      </w:r>
    </w:p>
    <w:p>
      <w:pPr>
        <w:spacing w:after="80" w:line="264"/>
        <w:ind w:left="480" w:hanging="480"/>
        <w:jc w:val="both"/>
      </w:pPr>
      <w:r>
        <w:rPr>
          <w:rFonts w:ascii="Times New Roman" w:cs="Times New Roman" w:eastAsia="Times New Roman" w:hAnsi="Times New Roman"/>
          <w:b/>
          <w:bCs/>
          <w:sz w:val="21"/>
          <w:szCs w:val="21"/>
        </w:rPr>
        <w:t xml:space="preserve">[14] </w:t>
      </w:r>
      <w:r>
        <w:rPr>
          <w:rFonts w:ascii="Times New Roman" w:cs="Times New Roman" w:eastAsia="Times New Roman" w:hAnsi="Times New Roman"/>
          <w:sz w:val="21"/>
          <w:szCs w:val="21"/>
        </w:rPr>
        <w:t xml:space="preserve">B. Noune et al., «8-bit numerical formats for deep neural networks», arXiv:2206.02915, 2022. https://arxiv.org/abs/2206.02915</w:t>
      </w:r>
    </w:p>
    <w:p>
      <w:pPr>
        <w:spacing w:after="80" w:line="264"/>
        <w:ind w:left="480" w:hanging="480"/>
        <w:jc w:val="both"/>
      </w:pPr>
      <w:r>
        <w:rPr>
          <w:rFonts w:ascii="Times New Roman" w:cs="Times New Roman" w:eastAsia="Times New Roman" w:hAnsi="Times New Roman"/>
          <w:b/>
          <w:bCs/>
          <w:sz w:val="21"/>
          <w:szCs w:val="21"/>
        </w:rPr>
        <w:t xml:space="preserve">[15] </w:t>
      </w:r>
      <w:r>
        <w:rPr>
          <w:rFonts w:ascii="Times New Roman" w:cs="Times New Roman" w:eastAsia="Times New Roman" w:hAnsi="Times New Roman"/>
          <w:sz w:val="21"/>
          <w:szCs w:val="21"/>
        </w:rPr>
        <w:t xml:space="preserve">IEEE Std 754-2019, IEEE Standard for Floating-Point Arithmetic, IEEE, New York, NY, 2019. https://standards.ieee.org/ieee/754/6210/</w:t>
      </w:r>
    </w:p>
    <w:p>
      <w:pPr>
        <w:spacing w:after="80" w:line="264"/>
        <w:ind w:left="480" w:hanging="480"/>
        <w:jc w:val="both"/>
      </w:pPr>
      <w:r>
        <w:rPr>
          <w:rFonts w:ascii="Times New Roman" w:cs="Times New Roman" w:eastAsia="Times New Roman" w:hAnsi="Times New Roman"/>
          <w:b/>
          <w:bCs/>
          <w:sz w:val="21"/>
          <w:szCs w:val="21"/>
        </w:rPr>
        <w:t xml:space="preserve">[16] </w:t>
      </w:r>
      <w:r>
        <w:rPr>
          <w:rFonts w:ascii="Times New Roman" w:cs="Times New Roman" w:eastAsia="Times New Roman" w:hAnsi="Times New Roman"/>
          <w:sz w:val="21"/>
          <w:szCs w:val="21"/>
        </w:rPr>
        <w:t xml:space="preserve">Open Compute Project, OCP Microscaling Formats (MX) Specification v1.0, OCP Foundation, 2023. https://www.opencompute.org/documents/ocp-microscaling-formats-mx-v1-0-spec-final-pdf</w:t>
      </w:r>
    </w:p>
    <w:p>
      <w:pPr>
        <w:spacing w:after="80" w:line="264"/>
        <w:ind w:left="480" w:hanging="480"/>
        <w:jc w:val="both"/>
      </w:pPr>
      <w:r>
        <w:rPr>
          <w:rFonts w:ascii="Times New Roman" w:cs="Times New Roman" w:eastAsia="Times New Roman" w:hAnsi="Times New Roman"/>
          <w:b/>
          <w:bCs/>
          <w:sz w:val="21"/>
          <w:szCs w:val="21"/>
        </w:rPr>
        <w:t xml:space="preserve">[17] </w:t>
      </w:r>
      <w:r>
        <w:rPr>
          <w:rFonts w:ascii="Times New Roman" w:cs="Times New Roman" w:eastAsia="Times New Roman" w:hAnsi="Times New Roman"/>
          <w:sz w:val="21"/>
          <w:szCs w:val="21"/>
        </w:rPr>
        <w:t xml:space="preserve">Google/JAX, ml_dtypes version 0.5.4: Low-precision float types for NumPy and JAX, 2024. https://github.com/jax-ml/ml_dtypes</w:t>
      </w:r>
    </w:p>
    <w:p>
      <w:pPr>
        <w:spacing w:after="80" w:line="264"/>
        <w:ind w:left="480" w:hanging="480"/>
        <w:jc w:val="both"/>
      </w:pPr>
      <w:r>
        <w:rPr>
          <w:rFonts w:ascii="Times New Roman" w:cs="Times New Roman" w:eastAsia="Times New Roman" w:hAnsi="Times New Roman"/>
          <w:b/>
          <w:bCs/>
          <w:sz w:val="21"/>
          <w:szCs w:val="21"/>
        </w:rPr>
        <w:t xml:space="preserve">[18] </w:t>
      </w:r>
      <w:r>
        <w:rPr>
          <w:rFonts w:ascii="Times New Roman" w:cs="Times New Roman" w:eastAsia="Times New Roman" w:hAnsi="Times New Roman"/>
          <w:sz w:val="21"/>
          <w:szCs w:val="21"/>
        </w:rPr>
        <w:t xml:space="preserve">IEEE P3109 Working Group, IEEE SA P3109 Interim Report v3.2.0: Standard for Floating-Point Arithmetic for AI, IEEE Standards Association, 2026. https://github.com/P3109/Public</w:t>
      </w:r>
    </w:p>
    <w:p>
      <w:pPr>
        <w:spacing w:after="120" w:line="360"/>
        <w:jc w:val="both"/>
      </w:pPr>
      <w:r>
        <w:rPr>
          <w:rFonts w:ascii="Times New Roman" w:cs="Times New Roman" w:eastAsia="Times New Roman" w:hAnsi="Times New Roman"/>
          <w:i/>
          <w:iCs/>
          <w:sz w:val="22"/>
          <w:szCs w:val="22"/>
        </w:rPr>
        <w:t xml:space="preserve">References (English transliteration) is produced by the editorial office from the entries above; all sources are cited in Latin script.</w:t>
      </w:r>
    </w:p>
    <w:p>
      <w:pPr>
        <w:pStyle w:val="Heading1"/>
        <w:spacing w:after="140" w:before="280"/>
      </w:pPr>
      <w:r>
        <w:rPr>
          <w:rFonts w:ascii="Times New Roman" w:cs="Times New Roman" w:eastAsia="Times New Roman" w:hAnsi="Times New Roman"/>
          <w:b/>
          <w:bCs/>
          <w:color w:val="000000"/>
          <w:sz w:val="30"/>
          <w:szCs w:val="30"/>
        </w:rPr>
        <w:t xml:space="preserve">Об авторе</w:t>
      </w:r>
    </w:p>
    <w:p>
      <w:pPr>
        <w:spacing w:after="120" w:line="360"/>
        <w:jc w:val="both"/>
      </w:pPr>
      <w:r>
        <w:rPr>
          <w:rFonts w:ascii="Times New Roman" w:cs="Times New Roman" w:eastAsia="Times New Roman" w:hAnsi="Times New Roman"/>
          <w:b/>
          <w:bCs/>
          <w:sz w:val="22"/>
          <w:szCs w:val="22"/>
        </w:rPr>
        <w:t xml:space="preserve">Васильев Дмитрий Владимирович </w:t>
      </w:r>
      <w:r>
        <w:rPr>
          <w:rFonts w:ascii="Times New Roman" w:cs="Times New Roman" w:eastAsia="Times New Roman" w:hAnsi="Times New Roman"/>
          <w:sz w:val="22"/>
          <w:szCs w:val="22"/>
        </w:rPr>
        <w:t xml:space="preserve">— независимый исследователь (Trinity S³AI), г. Ко Самуи, Королевство Таиланд. Область научных интересов: численные форматы, арифметика пониженной точности, нейросимвольный ИИ, верифицируемые вычисления. ORCID: 0009-0008-4294-6159. Эл. почта: admin@t27.ai.</w:t>
      </w:r>
    </w:p>
    <w:p>
      <w:pPr>
        <w:spacing w:after="120" w:line="360"/>
        <w:jc w:val="both"/>
      </w:pPr>
      <w:r>
        <w:rPr>
          <w:rFonts w:ascii="Times New Roman" w:cs="Times New Roman" w:eastAsia="Times New Roman" w:hAnsi="Times New Roman"/>
          <w:b/>
          <w:bCs/>
          <w:sz w:val="22"/>
          <w:szCs w:val="22"/>
        </w:rPr>
        <w:t xml:space="preserve">Vasilev Dmitrii Vladimirovich </w:t>
      </w:r>
      <w:r>
        <w:rPr>
          <w:rFonts w:ascii="Times New Roman" w:cs="Times New Roman" w:eastAsia="Times New Roman" w:hAnsi="Times New Roman"/>
          <w:sz w:val="22"/>
          <w:szCs w:val="22"/>
        </w:rPr>
        <w:t xml:space="preserve">— independent researcher (Trinity S³AI), Ko Samui, Kingdom of Thailand. Research interests: numeric formats, low-precision arithmetic, neurosymbolic AI, verifiable computing. ORCID: 0009-0008-4294-6159. E-mail: admin@t27.ai.</w:t>
      </w:r>
    </w:p>
    <w:sectPr>
      <w:headerReference w:type="default" r:id="rId7"/>
      <w:footerReference w:type="default" r:id="rId8"/>
      <w:pgSz w:w="11906" w:h="16838" w:orient="portrait"/>
      <w:pgMar w:top="1985" w:right="1417" w:bottom="1985"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из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6"/>
        <w:szCs w:val="16"/>
      </w:rPr>
      <w:t xml:space="preserve">Искусственный интеллект и принятие решений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10" w:before="22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ryku9l0731nm_jejasho" Type="http://schemas.openxmlformats.org/officeDocument/2006/relationships/hyperlink" Target="https://orcid.org/0009-0008-4294-6159"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Каталог из 83 численных форматов с битоточными векторами соответствия</dc:title>
  <dc:creator>Dmitrii Vasilev</dc:creator>
  <cp:lastModifiedBy>Un-named</cp:lastModifiedBy>
  <cp:revision>1</cp:revision>
  <dcterms:created xsi:type="dcterms:W3CDTF">2026-07-06T09:15:37.190Z</dcterms:created>
  <dcterms:modified xsi:type="dcterms:W3CDTF">2026-07-06T09:15:37.191Z</dcterms:modified>
</cp:coreProperties>
</file>

<file path=docProps/custom.xml><?xml version="1.0" encoding="utf-8"?>
<Properties xmlns="http://schemas.openxmlformats.org/officeDocument/2006/custom-properties" xmlns:vt="http://schemas.openxmlformats.org/officeDocument/2006/docPropsVTypes"/>
</file>