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9734370"/>
        <w:docPartObj>
          <w:docPartGallery w:val="Cover Pages"/>
          <w:docPartUnique/>
        </w:docPartObj>
      </w:sdtPr>
      <w:sdtEndPr>
        <w:rPr>
          <w:rFonts w:ascii="Segoe UI" w:eastAsiaTheme="majorEastAsia" w:hAnsi="Segoe UI" w:cs="Segoe UI"/>
          <w:b/>
          <w:bCs/>
          <w:color w:val="212529"/>
        </w:rPr>
      </w:sdtEndPr>
      <w:sdtContent>
        <w:p w14:paraId="4069FFDA" w14:textId="745356B1" w:rsidR="004966CF" w:rsidRDefault="004966CF">
          <w:r>
            <w:rPr>
              <w:noProof/>
            </w:rPr>
            <mc:AlternateContent>
              <mc:Choice Requires="wpg">
                <w:drawing>
                  <wp:anchor distT="0" distB="0" distL="114300" distR="114300" simplePos="0" relativeHeight="251662336" behindDoc="0" locked="0" layoutInCell="1" allowOverlap="1" wp14:anchorId="3D891B99" wp14:editId="4FF488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8982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21F716" wp14:editId="79110A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2E1021" w14:textId="581B94F8" w:rsidR="004966CF" w:rsidRDefault="004966CF">
                                    <w:pPr>
                                      <w:pStyle w:val="NoSpacing"/>
                                      <w:jc w:val="right"/>
                                      <w:rPr>
                                        <w:color w:val="595959" w:themeColor="text1" w:themeTint="A6"/>
                                        <w:sz w:val="28"/>
                                        <w:szCs w:val="28"/>
                                      </w:rPr>
                                    </w:pPr>
                                    <w:r>
                                      <w:rPr>
                                        <w:color w:val="595959" w:themeColor="text1" w:themeTint="A6"/>
                                        <w:sz w:val="28"/>
                                        <w:szCs w:val="28"/>
                                      </w:rPr>
                                      <w:t>Kushagra Gupta</w:t>
                                    </w:r>
                                  </w:p>
                                </w:sdtContent>
                              </w:sdt>
                              <w:p w14:paraId="052DB921" w14:textId="48BD244B" w:rsidR="004966CF" w:rsidRDefault="004966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10922">
                                      <w:rPr>
                                        <w:color w:val="595959" w:themeColor="text1" w:themeTint="A6"/>
                                        <w:sz w:val="18"/>
                                        <w:szCs w:val="18"/>
                                      </w:rPr>
                                      <w:t>kushagra.gupta@rumzer.com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21F7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2E1021" w14:textId="581B94F8" w:rsidR="004966CF" w:rsidRDefault="004966CF">
                              <w:pPr>
                                <w:pStyle w:val="NoSpacing"/>
                                <w:jc w:val="right"/>
                                <w:rPr>
                                  <w:color w:val="595959" w:themeColor="text1" w:themeTint="A6"/>
                                  <w:sz w:val="28"/>
                                  <w:szCs w:val="28"/>
                                </w:rPr>
                              </w:pPr>
                              <w:r>
                                <w:rPr>
                                  <w:color w:val="595959" w:themeColor="text1" w:themeTint="A6"/>
                                  <w:sz w:val="28"/>
                                  <w:szCs w:val="28"/>
                                </w:rPr>
                                <w:t>Kushagra Gupta</w:t>
                              </w:r>
                            </w:p>
                          </w:sdtContent>
                        </w:sdt>
                        <w:p w14:paraId="052DB921" w14:textId="48BD244B" w:rsidR="004966CF" w:rsidRDefault="004966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10922">
                                <w:rPr>
                                  <w:color w:val="595959" w:themeColor="text1" w:themeTint="A6"/>
                                  <w:sz w:val="18"/>
                                  <w:szCs w:val="18"/>
                                </w:rPr>
                                <w:t>kushagra.gupta@rumzer.com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DF5F2" wp14:editId="1B90FE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2593" w14:textId="59A048A3" w:rsidR="004966CF" w:rsidRDefault="00E10922">
                                <w:pPr>
                                  <w:pStyle w:val="NoSpacing"/>
                                  <w:jc w:val="right"/>
                                  <w:rPr>
                                    <w:color w:val="4472C4" w:themeColor="accent1"/>
                                    <w:sz w:val="28"/>
                                    <w:szCs w:val="28"/>
                                  </w:rPr>
                                </w:pPr>
                                <w:r>
                                  <w:rPr>
                                    <w:color w:val="4472C4" w:themeColor="accent1"/>
                                    <w:sz w:val="28"/>
                                    <w:szCs w:val="28"/>
                                  </w:rPr>
                                  <w:t>Restriction of the use of certain hazardous substance in electrical and electronic equipment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196605" w14:textId="1D25112A" w:rsidR="004966CF" w:rsidRDefault="00E10922">
                                    <w:pPr>
                                      <w:pStyle w:val="NoSpacing"/>
                                      <w:jc w:val="right"/>
                                      <w:rPr>
                                        <w:color w:val="595959" w:themeColor="text1" w:themeTint="A6"/>
                                        <w:sz w:val="20"/>
                                        <w:szCs w:val="20"/>
                                      </w:rPr>
                                    </w:pPr>
                                    <w:r>
                                      <w:rPr>
                                        <w:color w:val="595959" w:themeColor="text1" w:themeTint="A6"/>
                                        <w:sz w:val="20"/>
                                        <w:szCs w:val="20"/>
                                      </w:rPr>
                                      <w:t>This Directive lays out the rules on the restriction of use of hazardous substances in electrical and electronic equipment (EEE) with a view to contributing to the protection of human health and the environment, including the environmentally sound recovery and disposal of waste EEE.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DF5F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672593" w14:textId="59A048A3" w:rsidR="004966CF" w:rsidRDefault="00E10922">
                          <w:pPr>
                            <w:pStyle w:val="NoSpacing"/>
                            <w:jc w:val="right"/>
                            <w:rPr>
                              <w:color w:val="4472C4" w:themeColor="accent1"/>
                              <w:sz w:val="28"/>
                              <w:szCs w:val="28"/>
                            </w:rPr>
                          </w:pPr>
                          <w:r>
                            <w:rPr>
                              <w:color w:val="4472C4" w:themeColor="accent1"/>
                              <w:sz w:val="28"/>
                              <w:szCs w:val="28"/>
                            </w:rPr>
                            <w:t>Restriction of the use of certain hazardous substance in electrical and electronic equipment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196605" w14:textId="1D25112A" w:rsidR="004966CF" w:rsidRDefault="00E10922">
                              <w:pPr>
                                <w:pStyle w:val="NoSpacing"/>
                                <w:jc w:val="right"/>
                                <w:rPr>
                                  <w:color w:val="595959" w:themeColor="text1" w:themeTint="A6"/>
                                  <w:sz w:val="20"/>
                                  <w:szCs w:val="20"/>
                                </w:rPr>
                              </w:pPr>
                              <w:r>
                                <w:rPr>
                                  <w:color w:val="595959" w:themeColor="text1" w:themeTint="A6"/>
                                  <w:sz w:val="20"/>
                                  <w:szCs w:val="20"/>
                                </w:rPr>
                                <w:t>This Directive lays out the rules on the restriction of use of hazardous substances in electrical and electronic equipment (EEE) with a view to contributing to the protection of human health and the environment, including the environmentally sound recovery and disposal of waste EEE.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875B23" wp14:editId="77C0263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18D6" w14:textId="2193BA08" w:rsidR="004966CF" w:rsidRDefault="004966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w:t>
                                    </w:r>
                                    <w:r w:rsidR="00E10922">
                                      <w:rPr>
                                        <w:color w:val="4472C4" w:themeColor="accent1"/>
                                        <w:sz w:val="64"/>
                                        <w:szCs w:val="64"/>
                                      </w:rPr>
                                      <w:t>o</w:t>
                                    </w:r>
                                    <w:r w:rsidR="00E10922">
                                      <w:rPr>
                                        <w:caps/>
                                        <w:color w:val="4472C4" w:themeColor="accent1"/>
                                        <w:sz w:val="64"/>
                                        <w:szCs w:val="64"/>
                                      </w:rPr>
                                      <w:t>HS G</w:t>
                                    </w:r>
                                    <w:r w:rsidR="00E10922">
                                      <w:rPr>
                                        <w:color w:val="4472C4" w:themeColor="accent1"/>
                                        <w:sz w:val="64"/>
                                        <w:szCs w:val="64"/>
                                      </w:rPr>
                                      <w:t>uidelines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BEBC16" w14:textId="7EC59FEF" w:rsidR="004966CF" w:rsidRDefault="00E10922">
                                    <w:pPr>
                                      <w:jc w:val="right"/>
                                      <w:rPr>
                                        <w:smallCaps/>
                                        <w:color w:val="404040" w:themeColor="text1" w:themeTint="BF"/>
                                        <w:sz w:val="36"/>
                                        <w:szCs w:val="36"/>
                                      </w:rPr>
                                    </w:pPr>
                                    <w:r>
                                      <w:rPr>
                                        <w:color w:val="404040" w:themeColor="text1" w:themeTint="BF"/>
                                        <w:sz w:val="36"/>
                                        <w:szCs w:val="36"/>
                                      </w:rPr>
                                      <w:t>Brief 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75B2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4D18D6" w14:textId="2193BA08" w:rsidR="004966CF" w:rsidRDefault="004966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w:t>
                              </w:r>
                              <w:r w:rsidR="00E10922">
                                <w:rPr>
                                  <w:color w:val="4472C4" w:themeColor="accent1"/>
                                  <w:sz w:val="64"/>
                                  <w:szCs w:val="64"/>
                                </w:rPr>
                                <w:t>o</w:t>
                              </w:r>
                              <w:r w:rsidR="00E10922">
                                <w:rPr>
                                  <w:caps/>
                                  <w:color w:val="4472C4" w:themeColor="accent1"/>
                                  <w:sz w:val="64"/>
                                  <w:szCs w:val="64"/>
                                </w:rPr>
                                <w:t>HS G</w:t>
                              </w:r>
                              <w:r w:rsidR="00E10922">
                                <w:rPr>
                                  <w:color w:val="4472C4" w:themeColor="accent1"/>
                                  <w:sz w:val="64"/>
                                  <w:szCs w:val="64"/>
                                </w:rPr>
                                <w:t>uidelines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BEBC16" w14:textId="7EC59FEF" w:rsidR="004966CF" w:rsidRDefault="00E10922">
                              <w:pPr>
                                <w:jc w:val="right"/>
                                <w:rPr>
                                  <w:smallCaps/>
                                  <w:color w:val="404040" w:themeColor="text1" w:themeTint="BF"/>
                                  <w:sz w:val="36"/>
                                  <w:szCs w:val="36"/>
                                </w:rPr>
                              </w:pPr>
                              <w:r>
                                <w:rPr>
                                  <w:color w:val="404040" w:themeColor="text1" w:themeTint="BF"/>
                                  <w:sz w:val="36"/>
                                  <w:szCs w:val="36"/>
                                </w:rPr>
                                <w:t>Brief Overview</w:t>
                              </w:r>
                            </w:p>
                          </w:sdtContent>
                        </w:sdt>
                      </w:txbxContent>
                    </v:textbox>
                    <w10:wrap type="square" anchorx="page" anchory="page"/>
                  </v:shape>
                </w:pict>
              </mc:Fallback>
            </mc:AlternateContent>
          </w:r>
        </w:p>
        <w:p w14:paraId="503CABE6" w14:textId="21868696" w:rsidR="004966CF" w:rsidRDefault="004966CF">
          <w:pPr>
            <w:rPr>
              <w:rFonts w:ascii="Segoe UI" w:eastAsiaTheme="majorEastAsia" w:hAnsi="Segoe UI" w:cs="Segoe UI"/>
              <w:b/>
              <w:bCs/>
              <w:color w:val="212529"/>
            </w:rPr>
          </w:pPr>
          <w:r>
            <w:rPr>
              <w:rFonts w:ascii="Segoe UI" w:eastAsiaTheme="majorEastAsia" w:hAnsi="Segoe UI" w:cs="Segoe UI"/>
              <w:b/>
              <w:bCs/>
              <w:color w:val="212529"/>
            </w:rPr>
            <w:br w:type="page"/>
          </w:r>
        </w:p>
      </w:sdtContent>
    </w:sdt>
    <w:p w14:paraId="24485C9A" w14:textId="243CEC29" w:rsidR="004966CF" w:rsidRPr="004966CF" w:rsidRDefault="004966CF" w:rsidP="004966CF">
      <w:pPr>
        <w:shd w:val="clear" w:color="auto" w:fill="FFFFFF"/>
        <w:spacing w:after="100" w:afterAutospacing="1" w:line="240" w:lineRule="auto"/>
        <w:outlineLvl w:val="1"/>
        <w:rPr>
          <w:rFonts w:ascii="Segoe UI" w:eastAsia="Times New Roman" w:hAnsi="Segoe UI" w:cs="Segoe UI"/>
          <w:color w:val="212529"/>
          <w:sz w:val="36"/>
          <w:szCs w:val="36"/>
        </w:rPr>
      </w:pPr>
      <w:r w:rsidRPr="004966CF">
        <w:rPr>
          <w:rFonts w:ascii="Segoe UI" w:eastAsia="Times New Roman" w:hAnsi="Segoe UI" w:cs="Segoe UI"/>
          <w:color w:val="212529"/>
          <w:sz w:val="36"/>
          <w:szCs w:val="36"/>
        </w:rPr>
        <w:lastRenderedPageBreak/>
        <w:t>RoHS: Restriction of the use of certain hazardous substance in electrical and electronic equipment</w:t>
      </w:r>
    </w:p>
    <w:p w14:paraId="07153320" w14:textId="77777777" w:rsidR="004966CF" w:rsidRPr="004966CF" w:rsidRDefault="004966CF" w:rsidP="004966CF">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4966CF">
        <w:rPr>
          <w:rFonts w:ascii="Segoe UI" w:eastAsia="Times New Roman" w:hAnsi="Segoe UI" w:cs="Segoe UI"/>
          <w:color w:val="212529"/>
          <w:sz w:val="24"/>
          <w:szCs w:val="24"/>
        </w:rPr>
        <w:t>Directive 2011/65/EU of the European Parliament and of the Council of 8 June 2011</w:t>
      </w:r>
    </w:p>
    <w:p w14:paraId="5357086C" w14:textId="77777777" w:rsidR="004966CF" w:rsidRPr="004966CF" w:rsidRDefault="004966CF" w:rsidP="004966CF">
      <w:pPr>
        <w:shd w:val="clear" w:color="auto" w:fill="FFFFFF"/>
        <w:spacing w:before="100" w:beforeAutospacing="1" w:after="100" w:afterAutospacing="1" w:line="240" w:lineRule="auto"/>
        <w:rPr>
          <w:rFonts w:ascii="Segoe UI" w:eastAsia="Times New Roman" w:hAnsi="Segoe UI" w:cs="Segoe UI"/>
          <w:sz w:val="24"/>
          <w:szCs w:val="24"/>
        </w:rPr>
      </w:pPr>
      <w:r w:rsidRPr="004966CF">
        <w:rPr>
          <w:rFonts w:ascii="Segoe UI" w:eastAsia="Times New Roman" w:hAnsi="Segoe UI" w:cs="Segoe UI"/>
          <w:sz w:val="24"/>
          <w:szCs w:val="24"/>
        </w:rPr>
        <w:t>Latest Amendment as of </w:t>
      </w:r>
      <w:r w:rsidRPr="004966CF">
        <w:rPr>
          <w:rFonts w:ascii="Segoe UI" w:eastAsia="Times New Roman" w:hAnsi="Segoe UI" w:cs="Segoe UI"/>
          <w:b/>
          <w:bCs/>
          <w:sz w:val="24"/>
          <w:szCs w:val="24"/>
        </w:rPr>
        <w:t>02/05/2019</w:t>
      </w:r>
    </w:p>
    <w:p w14:paraId="6ADF1FAE" w14:textId="7A0A2475" w:rsidR="004966CF" w:rsidRDefault="004966CF" w:rsidP="004966CF">
      <w:pPr>
        <w:pStyle w:val="Heading4"/>
        <w:spacing w:before="0"/>
        <w:rPr>
          <w:rFonts w:ascii="Segoe UI" w:hAnsi="Segoe UI" w:cs="Segoe UI"/>
          <w:color w:val="212529"/>
        </w:rPr>
      </w:pPr>
      <w:r>
        <w:rPr>
          <w:rFonts w:ascii="Segoe UI" w:hAnsi="Segoe UI" w:cs="Segoe UI"/>
          <w:b/>
          <w:bCs/>
          <w:color w:val="212529"/>
        </w:rPr>
        <w:t>Article 1: Directive</w:t>
      </w:r>
    </w:p>
    <w:p w14:paraId="0CCF354C" w14:textId="6904D287" w:rsidR="004966CF" w:rsidRDefault="004966CF" w:rsidP="004966CF">
      <w:pPr>
        <w:pStyle w:val="text-body"/>
        <w:spacing w:before="0" w:beforeAutospacing="0"/>
        <w:rPr>
          <w:rFonts w:ascii="Segoe UI" w:hAnsi="Segoe UI" w:cs="Segoe UI"/>
          <w:color w:val="212529"/>
        </w:rPr>
      </w:pPr>
      <w:r>
        <w:rPr>
          <w:rFonts w:ascii="Segoe UI" w:hAnsi="Segoe UI" w:cs="Segoe UI"/>
          <w:color w:val="212529"/>
        </w:rPr>
        <w:t xml:space="preserve">This Directive lays down rules on the restriction of the use of </w:t>
      </w:r>
      <w:r>
        <w:rPr>
          <w:rFonts w:ascii="Segoe UI" w:hAnsi="Segoe UI" w:cs="Segoe UI"/>
          <w:color w:val="212529"/>
        </w:rPr>
        <w:t>hazardous</w:t>
      </w:r>
      <w:r>
        <w:rPr>
          <w:rFonts w:ascii="Segoe UI" w:hAnsi="Segoe UI" w:cs="Segoe UI"/>
          <w:color w:val="212529"/>
        </w:rPr>
        <w:t xml:space="preserve"> substances in electrical and electronic equipment (EEE) with a view to contributing to the protection of human health and the environment, including the environmentally sound recovery and disposal of waste EEE.</w:t>
      </w:r>
    </w:p>
    <w:p w14:paraId="7D22D106" w14:textId="1E03D9CE" w:rsidR="004966CF" w:rsidRDefault="004966CF" w:rsidP="004966CF">
      <w:pPr>
        <w:pStyle w:val="Heading4"/>
        <w:spacing w:before="0"/>
        <w:rPr>
          <w:rFonts w:ascii="Segoe UI" w:hAnsi="Segoe UI" w:cs="Segoe UI"/>
          <w:color w:val="212529"/>
        </w:rPr>
      </w:pPr>
      <w:r>
        <w:rPr>
          <w:rFonts w:ascii="Segoe UI" w:hAnsi="Segoe UI" w:cs="Segoe UI"/>
          <w:b/>
          <w:bCs/>
          <w:color w:val="212529"/>
        </w:rPr>
        <w:t>Article 2: Categories covered by this Directive</w:t>
      </w:r>
    </w:p>
    <w:p w14:paraId="11C27D66" w14:textId="2C090B42"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Large and Small household appliances</w:t>
      </w:r>
    </w:p>
    <w:p w14:paraId="63C3DEC7" w14:textId="288858C6"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IT and Telecom equipment</w:t>
      </w:r>
    </w:p>
    <w:p w14:paraId="6C465A99" w14:textId="288858C6"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Consumer equipment</w:t>
      </w:r>
    </w:p>
    <w:p w14:paraId="620E8568"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Lighting equipment</w:t>
      </w:r>
    </w:p>
    <w:p w14:paraId="6220E14A"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Electrical and electronic tools</w:t>
      </w:r>
    </w:p>
    <w:p w14:paraId="226FAD0D"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Toys, leisure and sports equipment</w:t>
      </w:r>
    </w:p>
    <w:p w14:paraId="314E850B"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Medical devices</w:t>
      </w:r>
    </w:p>
    <w:p w14:paraId="2C52CF1D"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Monitoring and control instruments</w:t>
      </w:r>
    </w:p>
    <w:p w14:paraId="7FE05663" w14:textId="77777777" w:rsid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Automatic dispensers</w:t>
      </w:r>
    </w:p>
    <w:p w14:paraId="1B660EFF" w14:textId="3BFC8324" w:rsidR="004966CF" w:rsidRPr="004966CF" w:rsidRDefault="004966CF" w:rsidP="004966CF">
      <w:pPr>
        <w:pStyle w:val="list-group-item"/>
        <w:numPr>
          <w:ilvl w:val="0"/>
          <w:numId w:val="1"/>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Other EEE not covered by any of the categories above</w:t>
      </w:r>
    </w:p>
    <w:p w14:paraId="77A1513A" w14:textId="77777777" w:rsidR="004966CF" w:rsidRDefault="004966CF" w:rsidP="004966CF">
      <w:pPr>
        <w:pStyle w:val="Heading4"/>
        <w:spacing w:before="0"/>
        <w:rPr>
          <w:rFonts w:ascii="Segoe UI" w:hAnsi="Segoe UI" w:cs="Segoe UI"/>
          <w:color w:val="212529"/>
        </w:rPr>
      </w:pPr>
      <w:r>
        <w:rPr>
          <w:rFonts w:ascii="Segoe UI" w:hAnsi="Segoe UI" w:cs="Segoe UI"/>
          <w:b/>
          <w:bCs/>
          <w:color w:val="212529"/>
        </w:rPr>
        <w:t>Article 2: Categories excluded by this Directive</w:t>
      </w:r>
    </w:p>
    <w:p w14:paraId="1CD45649" w14:textId="00702938" w:rsidR="004966CF" w:rsidRDefault="004966CF" w:rsidP="004966CF">
      <w:pPr>
        <w:pStyle w:val="text-info"/>
        <w:spacing w:before="0" w:beforeAutospacing="0"/>
        <w:rPr>
          <w:rFonts w:ascii="Segoe UI" w:hAnsi="Segoe UI" w:cs="Segoe UI"/>
          <w:color w:val="212529"/>
        </w:rPr>
      </w:pPr>
      <w:r>
        <w:rPr>
          <w:rFonts w:ascii="Segoe UI" w:hAnsi="Segoe UI" w:cs="Segoe UI"/>
          <w:color w:val="212529"/>
        </w:rPr>
        <w:t>[Detailed definitions available in RoHS Article 3]</w:t>
      </w:r>
    </w:p>
    <w:p w14:paraId="2B4372E7" w14:textId="5355103F"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Equipment’s for protection of persons in high authorities.</w:t>
      </w:r>
    </w:p>
    <w:p w14:paraId="090ACFF5" w14:textId="4B30D40A"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Equipment to be sent into space</w:t>
      </w:r>
    </w:p>
    <w:p w14:paraId="7ED899E1"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Equipment that is required for another excluded equipment</w:t>
      </w:r>
    </w:p>
    <w:p w14:paraId="56944F90"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Large-scale stationary industrial tools and fixed installations</w:t>
      </w:r>
    </w:p>
    <w:p w14:paraId="12BD26D9"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Means of transport for persons or goods, excluding electric two-wheelers</w:t>
      </w:r>
    </w:p>
    <w:p w14:paraId="7D881D02"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Non-road machinery made for professional use</w:t>
      </w:r>
    </w:p>
    <w:p w14:paraId="69CDCF2F"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Active implantable medical devices</w:t>
      </w:r>
    </w:p>
    <w:p w14:paraId="179228DA"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Photovoltaic panels</w:t>
      </w:r>
    </w:p>
    <w:p w14:paraId="5D35E073"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Equipment designed for purposes of research</w:t>
      </w:r>
    </w:p>
    <w:p w14:paraId="76F090E3" w14:textId="77777777" w:rsidR="004966CF" w:rsidRDefault="004966CF" w:rsidP="004966CF">
      <w:pPr>
        <w:pStyle w:val="list-group-item"/>
        <w:numPr>
          <w:ilvl w:val="0"/>
          <w:numId w:val="2"/>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Pipe organs</w:t>
      </w:r>
    </w:p>
    <w:p w14:paraId="7C30067D" w14:textId="3334405A" w:rsidR="004966CF" w:rsidRDefault="004966CF" w:rsidP="004966CF">
      <w:pPr>
        <w:pStyle w:val="Heading4"/>
        <w:spacing w:before="0"/>
        <w:rPr>
          <w:rFonts w:ascii="Segoe UI" w:hAnsi="Segoe UI" w:cs="Segoe UI"/>
          <w:color w:val="212529"/>
        </w:rPr>
      </w:pPr>
      <w:r>
        <w:rPr>
          <w:rFonts w:ascii="Segoe UI" w:hAnsi="Segoe UI" w:cs="Segoe UI"/>
          <w:b/>
          <w:bCs/>
          <w:color w:val="212529"/>
        </w:rPr>
        <w:lastRenderedPageBreak/>
        <w:t>Article 3: Important Definitions</w:t>
      </w:r>
    </w:p>
    <w:p w14:paraId="5975D96D" w14:textId="6A322753" w:rsidR="004966CF" w:rsidRDefault="004966CF" w:rsidP="004966CF">
      <w:pPr>
        <w:pStyle w:val="w-100"/>
        <w:spacing w:before="0" w:beforeAutospacing="0"/>
        <w:rPr>
          <w:rFonts w:ascii="Segoe UI" w:hAnsi="Segoe UI" w:cs="Segoe UI"/>
          <w:color w:val="212529"/>
        </w:rPr>
      </w:pPr>
      <w:r>
        <w:rPr>
          <w:rFonts w:ascii="Segoe UI" w:hAnsi="Segoe UI" w:cs="Segoe UI"/>
          <w:b/>
          <w:bCs/>
          <w:color w:val="212529"/>
        </w:rPr>
        <w:t>Harmonized</w:t>
      </w:r>
      <w:r>
        <w:rPr>
          <w:rFonts w:ascii="Segoe UI" w:hAnsi="Segoe UI" w:cs="Segoe UI"/>
          <w:b/>
          <w:bCs/>
          <w:color w:val="212529"/>
        </w:rPr>
        <w:t xml:space="preserve"> Standard</w:t>
      </w:r>
      <w:r>
        <w:rPr>
          <w:rFonts w:ascii="Segoe UI" w:hAnsi="Segoe UI" w:cs="Segoe UI"/>
          <w:color w:val="212529"/>
        </w:rPr>
        <w:br/>
        <w:t xml:space="preserve">A standard adopted by one of the European </w:t>
      </w:r>
      <w:r>
        <w:rPr>
          <w:rFonts w:ascii="Segoe UI" w:hAnsi="Segoe UI" w:cs="Segoe UI"/>
          <w:color w:val="212529"/>
        </w:rPr>
        <w:t>standardization</w:t>
      </w:r>
      <w:r>
        <w:rPr>
          <w:rFonts w:ascii="Segoe UI" w:hAnsi="Segoe UI" w:cs="Segoe UI"/>
          <w:color w:val="212529"/>
        </w:rPr>
        <w:t xml:space="preserve"> bodies.</w:t>
      </w:r>
    </w:p>
    <w:p w14:paraId="192319B8" w14:textId="77777777" w:rsidR="004966CF" w:rsidRDefault="004966CF" w:rsidP="004966CF">
      <w:pPr>
        <w:pStyle w:val="w-100"/>
        <w:spacing w:before="0" w:beforeAutospacing="0"/>
        <w:rPr>
          <w:rFonts w:ascii="Segoe UI" w:hAnsi="Segoe UI" w:cs="Segoe UI"/>
          <w:color w:val="212529"/>
        </w:rPr>
      </w:pPr>
      <w:r>
        <w:rPr>
          <w:rFonts w:ascii="Segoe UI" w:hAnsi="Segoe UI" w:cs="Segoe UI"/>
          <w:b/>
          <w:bCs/>
          <w:color w:val="212529"/>
        </w:rPr>
        <w:t>Conformity Assessment</w:t>
      </w:r>
      <w:r>
        <w:rPr>
          <w:rFonts w:ascii="Segoe UI" w:hAnsi="Segoe UI" w:cs="Segoe UI"/>
          <w:color w:val="212529"/>
        </w:rPr>
        <w:br/>
        <w:t>The process demonstrating whether the requirements of this Directive relating to an EEE, are met.</w:t>
      </w:r>
    </w:p>
    <w:p w14:paraId="729E69A1" w14:textId="392CBA5D" w:rsidR="004966CF" w:rsidRDefault="004966CF" w:rsidP="004966CF">
      <w:pPr>
        <w:pStyle w:val="w-100"/>
        <w:spacing w:before="0" w:beforeAutospacing="0"/>
        <w:rPr>
          <w:rFonts w:ascii="Segoe UI" w:hAnsi="Segoe UI" w:cs="Segoe UI"/>
          <w:color w:val="212529"/>
        </w:rPr>
      </w:pPr>
      <w:r>
        <w:rPr>
          <w:rFonts w:ascii="Segoe UI" w:hAnsi="Segoe UI" w:cs="Segoe UI"/>
          <w:b/>
          <w:bCs/>
          <w:color w:val="212529"/>
        </w:rPr>
        <w:t>Market Surveillance</w:t>
      </w:r>
      <w:r>
        <w:rPr>
          <w:rFonts w:ascii="Segoe UI" w:hAnsi="Segoe UI" w:cs="Segoe UI"/>
          <w:color w:val="212529"/>
        </w:rPr>
        <w:br/>
        <w:t xml:space="preserve">The </w:t>
      </w:r>
      <w:r>
        <w:rPr>
          <w:rFonts w:ascii="Segoe UI" w:hAnsi="Segoe UI" w:cs="Segoe UI"/>
          <w:color w:val="212529"/>
        </w:rPr>
        <w:t>measures</w:t>
      </w:r>
      <w:r>
        <w:rPr>
          <w:rFonts w:ascii="Segoe UI" w:hAnsi="Segoe UI" w:cs="Segoe UI"/>
          <w:color w:val="212529"/>
        </w:rPr>
        <w:t xml:space="preserve"> taken by public authority to ensure EEE comply with requirements set out in this Directive.</w:t>
      </w:r>
    </w:p>
    <w:p w14:paraId="424731C3" w14:textId="77777777" w:rsidR="004966CF" w:rsidRDefault="004966CF" w:rsidP="004966CF">
      <w:pPr>
        <w:pStyle w:val="w-100"/>
        <w:spacing w:before="0" w:beforeAutospacing="0"/>
        <w:rPr>
          <w:rFonts w:ascii="Segoe UI" w:hAnsi="Segoe UI" w:cs="Segoe UI"/>
          <w:color w:val="212529"/>
        </w:rPr>
      </w:pPr>
      <w:r>
        <w:rPr>
          <w:rFonts w:ascii="Segoe UI" w:hAnsi="Segoe UI" w:cs="Segoe UI"/>
          <w:b/>
          <w:bCs/>
          <w:color w:val="212529"/>
        </w:rPr>
        <w:t>Recall</w:t>
      </w:r>
      <w:r>
        <w:rPr>
          <w:rFonts w:ascii="Segoe UI" w:hAnsi="Segoe UI" w:cs="Segoe UI"/>
          <w:color w:val="212529"/>
        </w:rPr>
        <w:br/>
        <w:t>Measure aimed at achieving the return of a product already available in market.</w:t>
      </w:r>
    </w:p>
    <w:p w14:paraId="404CCB73" w14:textId="1BEC88E5" w:rsidR="004966CF" w:rsidRDefault="004966CF" w:rsidP="004966CF">
      <w:pPr>
        <w:pStyle w:val="w-100"/>
        <w:spacing w:before="0" w:beforeAutospacing="0"/>
        <w:rPr>
          <w:rFonts w:ascii="Segoe UI" w:hAnsi="Segoe UI" w:cs="Segoe UI"/>
          <w:color w:val="212529"/>
        </w:rPr>
      </w:pPr>
      <w:r>
        <w:rPr>
          <w:rFonts w:ascii="Segoe UI" w:hAnsi="Segoe UI" w:cs="Segoe UI"/>
          <w:b/>
          <w:bCs/>
          <w:color w:val="212529"/>
        </w:rPr>
        <w:t>Withdrawal</w:t>
      </w:r>
      <w:r>
        <w:rPr>
          <w:rFonts w:ascii="Segoe UI" w:hAnsi="Segoe UI" w:cs="Segoe UI"/>
          <w:color w:val="212529"/>
        </w:rPr>
        <w:br/>
        <w:t>Measure aimed at preventing a product in the supply chain from being available in market.</w:t>
      </w:r>
    </w:p>
    <w:p w14:paraId="5C4C876A" w14:textId="7EF3DF9F" w:rsidR="004966CF" w:rsidRDefault="004966CF" w:rsidP="004966CF">
      <w:pPr>
        <w:pStyle w:val="w-100"/>
        <w:spacing w:before="0" w:beforeAutospacing="0"/>
        <w:rPr>
          <w:rFonts w:ascii="Segoe UI" w:hAnsi="Segoe UI" w:cs="Segoe UI"/>
          <w:color w:val="212529"/>
        </w:rPr>
      </w:pPr>
    </w:p>
    <w:p w14:paraId="76F64C13" w14:textId="77777777" w:rsidR="004966CF" w:rsidRDefault="004966CF" w:rsidP="004966CF">
      <w:pPr>
        <w:pStyle w:val="Heading4"/>
        <w:spacing w:before="0"/>
        <w:rPr>
          <w:rFonts w:ascii="Segoe UI" w:hAnsi="Segoe UI" w:cs="Segoe UI"/>
          <w:color w:val="212529"/>
        </w:rPr>
      </w:pPr>
      <w:r>
        <w:rPr>
          <w:rFonts w:ascii="Segoe UI" w:hAnsi="Segoe UI" w:cs="Segoe UI"/>
          <w:b/>
          <w:bCs/>
          <w:color w:val="212529"/>
        </w:rPr>
        <w:t>Article 4: Prevention</w:t>
      </w:r>
    </w:p>
    <w:p w14:paraId="61D15D6D" w14:textId="77777777" w:rsidR="004966CF" w:rsidRDefault="004966CF" w:rsidP="004966CF">
      <w:pPr>
        <w:rPr>
          <w:rFonts w:ascii="Segoe UI" w:hAnsi="Segoe UI" w:cs="Segoe UI"/>
          <w:color w:val="212529"/>
        </w:rPr>
      </w:pPr>
      <w:r>
        <w:rPr>
          <w:rFonts w:ascii="Segoe UI" w:hAnsi="Segoe UI" w:cs="Segoe UI"/>
          <w:color w:val="212529"/>
        </w:rPr>
        <w:t>hide</w:t>
      </w:r>
    </w:p>
    <w:p w14:paraId="37FA076C" w14:textId="77777777" w:rsidR="004966CF" w:rsidRDefault="004966CF" w:rsidP="004966CF">
      <w:pPr>
        <w:pStyle w:val="text-body"/>
        <w:spacing w:before="0" w:beforeAutospacing="0"/>
        <w:rPr>
          <w:rFonts w:ascii="Segoe UI" w:hAnsi="Segoe UI" w:cs="Segoe UI"/>
          <w:color w:val="212529"/>
        </w:rPr>
      </w:pPr>
      <w:r>
        <w:rPr>
          <w:rFonts w:ascii="Segoe UI" w:hAnsi="Segoe UI" w:cs="Segoe UI"/>
          <w:color w:val="212529"/>
        </w:rPr>
        <w:t>Member States shall ensure that EEE placed on the market, including cables and spare parts for its repair, its reuse, updating of functionalities or upgrading of its capacity, does not contain the substances listed in Annex II.</w:t>
      </w:r>
      <w:r>
        <w:rPr>
          <w:rFonts w:ascii="Segoe UI" w:hAnsi="Segoe UI" w:cs="Segoe UI"/>
          <w:color w:val="212529"/>
        </w:rPr>
        <w:br/>
        <w:t>For the purpose of this Directive, no more than the maximum concentration value by weight in homogenous materials as specified in Annex II shall be tolerated.</w:t>
      </w:r>
    </w:p>
    <w:p w14:paraId="50153E57" w14:textId="6044E9F0" w:rsidR="004966CF" w:rsidRDefault="004966CF" w:rsidP="004966CF">
      <w:pPr>
        <w:pStyle w:val="Heading5"/>
        <w:spacing w:before="0"/>
        <w:rPr>
          <w:rFonts w:ascii="Segoe UI" w:hAnsi="Segoe UI" w:cs="Segoe UI"/>
          <w:color w:val="212529"/>
        </w:rPr>
      </w:pPr>
      <w:r>
        <w:rPr>
          <w:rFonts w:ascii="Segoe UI" w:hAnsi="Segoe UI" w:cs="Segoe UI"/>
          <w:b/>
          <w:bCs/>
          <w:color w:val="212529"/>
        </w:rPr>
        <w:t>Substances listed in Annex II</w:t>
      </w:r>
    </w:p>
    <w:p w14:paraId="438D016C" w14:textId="685F11C5"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Lead 0.1 %</w:t>
      </w:r>
    </w:p>
    <w:p w14:paraId="5A0573EF" w14:textId="2D80DC3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Mercury 0.1 %</w:t>
      </w:r>
    </w:p>
    <w:p w14:paraId="1E3D79FC"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Hexavalent chromium 0.1 %</w:t>
      </w:r>
    </w:p>
    <w:p w14:paraId="377D6A13"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Polybrominated biphenyls (PBB) 0.1 %</w:t>
      </w:r>
    </w:p>
    <w:p w14:paraId="615B3736"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Polybrominated diphenyl ethers (PBDE) 0.1 %</w:t>
      </w:r>
    </w:p>
    <w:p w14:paraId="03620A6E"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Bis (2-ethylhexyl) phthalate (DEHP) 0.1 %</w:t>
      </w:r>
    </w:p>
    <w:p w14:paraId="6336E272"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Butyl benzyl phthalate (BBP) 0.1 %</w:t>
      </w:r>
    </w:p>
    <w:p w14:paraId="4B9A0A01"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Dibutyl phthalate (DBP) 0.1 %</w:t>
      </w:r>
    </w:p>
    <w:p w14:paraId="6F7E92FD" w14:textId="77777777" w:rsidR="004966CF" w:rsidRDefault="004966CF" w:rsidP="004966CF">
      <w:pPr>
        <w:pStyle w:val="list-group-item"/>
        <w:numPr>
          <w:ilvl w:val="0"/>
          <w:numId w:val="3"/>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Diisobutyl phthalate (DIBP) 0.1 %</w:t>
      </w:r>
    </w:p>
    <w:p w14:paraId="65D9F0D0" w14:textId="63C7B4A4" w:rsidR="004966CF" w:rsidRDefault="004966CF" w:rsidP="004966CF">
      <w:pPr>
        <w:pStyle w:val="text-body"/>
        <w:spacing w:before="0" w:beforeAutospacing="0"/>
        <w:rPr>
          <w:rFonts w:ascii="Segoe UI" w:hAnsi="Segoe UI" w:cs="Segoe UI"/>
          <w:color w:val="212529"/>
        </w:rPr>
      </w:pPr>
      <w:r>
        <w:rPr>
          <w:rFonts w:ascii="Segoe UI" w:hAnsi="Segoe UI" w:cs="Segoe UI"/>
          <w:color w:val="212529"/>
        </w:rPr>
        <w:lastRenderedPageBreak/>
        <w:t xml:space="preserve">DEHP, BBP, DBP, DIBP shall not apply to medical devices, Monitoring and control </w:t>
      </w:r>
      <w:r>
        <w:rPr>
          <w:rFonts w:ascii="Segoe UI" w:hAnsi="Segoe UI" w:cs="Segoe UI"/>
          <w:color w:val="212529"/>
        </w:rPr>
        <w:t>equipment’s</w:t>
      </w:r>
      <w:r>
        <w:rPr>
          <w:rFonts w:ascii="Segoe UI" w:hAnsi="Segoe UI" w:cs="Segoe UI"/>
          <w:color w:val="212529"/>
        </w:rPr>
        <w:t xml:space="preserve"> from July 22, 2021.</w:t>
      </w:r>
    </w:p>
    <w:p w14:paraId="74F853F8" w14:textId="7F69E233" w:rsidR="004966CF" w:rsidRDefault="004966CF" w:rsidP="004966CF">
      <w:pPr>
        <w:pStyle w:val="text-body"/>
        <w:spacing w:before="0" w:beforeAutospacing="0"/>
        <w:rPr>
          <w:rFonts w:ascii="Segoe UI" w:hAnsi="Segoe UI" w:cs="Segoe UI"/>
          <w:color w:val="212529"/>
        </w:rPr>
      </w:pPr>
      <w:r>
        <w:rPr>
          <w:rFonts w:ascii="Segoe UI" w:hAnsi="Segoe UI" w:cs="Segoe UI"/>
          <w:color w:val="212529"/>
        </w:rPr>
        <w:t>DEHP, BBP, DBP, DIBP apply to cables or spare parts for repair/reuse/updating of EEE placed on market after July 22, 2019.</w:t>
      </w:r>
    </w:p>
    <w:p w14:paraId="1C17AA94" w14:textId="52F7A08B" w:rsidR="004966CF" w:rsidRDefault="004966CF" w:rsidP="004966CF">
      <w:pPr>
        <w:pStyle w:val="text-body"/>
        <w:spacing w:before="0" w:beforeAutospacing="0"/>
        <w:rPr>
          <w:rFonts w:ascii="Segoe UI" w:hAnsi="Segoe UI" w:cs="Segoe UI"/>
          <w:color w:val="212529"/>
        </w:rPr>
      </w:pPr>
    </w:p>
    <w:p w14:paraId="033130FD" w14:textId="5B90BF46" w:rsidR="004966CF" w:rsidRDefault="004966CF" w:rsidP="004966CF">
      <w:pPr>
        <w:pStyle w:val="Heading4"/>
        <w:spacing w:before="0"/>
        <w:rPr>
          <w:rFonts w:ascii="Segoe UI" w:hAnsi="Segoe UI" w:cs="Segoe UI"/>
          <w:color w:val="212529"/>
        </w:rPr>
      </w:pPr>
      <w:r>
        <w:rPr>
          <w:rFonts w:ascii="Segoe UI" w:hAnsi="Segoe UI" w:cs="Segoe UI"/>
          <w:b/>
          <w:bCs/>
          <w:color w:val="212529"/>
        </w:rPr>
        <w:t xml:space="preserve">Article 5: Adaptation of the Annexes to scientific and </w:t>
      </w:r>
      <w:r>
        <w:rPr>
          <w:rFonts w:ascii="Segoe UI" w:hAnsi="Segoe UI" w:cs="Segoe UI"/>
          <w:b/>
          <w:bCs/>
          <w:color w:val="212529"/>
        </w:rPr>
        <w:t>technical</w:t>
      </w:r>
      <w:r>
        <w:rPr>
          <w:rFonts w:ascii="Segoe UI" w:hAnsi="Segoe UI" w:cs="Segoe UI"/>
          <w:b/>
          <w:bCs/>
          <w:color w:val="212529"/>
        </w:rPr>
        <w:t xml:space="preserve"> progress</w:t>
      </w:r>
    </w:p>
    <w:p w14:paraId="11310200" w14:textId="77777777" w:rsidR="004966CF" w:rsidRDefault="004966CF" w:rsidP="004966CF">
      <w:pPr>
        <w:pStyle w:val="w-100"/>
        <w:spacing w:before="0" w:beforeAutospacing="0"/>
        <w:rPr>
          <w:rFonts w:ascii="Segoe UI" w:hAnsi="Segoe UI" w:cs="Segoe UI"/>
          <w:color w:val="212529"/>
        </w:rPr>
      </w:pPr>
      <w:r>
        <w:rPr>
          <w:rFonts w:ascii="Segoe UI" w:hAnsi="Segoe UI" w:cs="Segoe UI"/>
          <w:color w:val="212529"/>
        </w:rPr>
        <w:t>For the purposes of adapting to scientific and technical progress, the Commission shall adopt the following measures:</w:t>
      </w:r>
    </w:p>
    <w:p w14:paraId="76CD494F" w14:textId="116A16E7" w:rsidR="004966CF" w:rsidRDefault="004966CF" w:rsidP="004966CF">
      <w:pPr>
        <w:pStyle w:val="list-group-item"/>
        <w:numPr>
          <w:ilvl w:val="0"/>
          <w:numId w:val="4"/>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Inclusion of materials and components of EEE for specific applications in the lists, provided that such inclusion does not weaken the environmental and health protection.</w:t>
      </w:r>
    </w:p>
    <w:p w14:paraId="7E485E39" w14:textId="592B8D01" w:rsidR="004966CF" w:rsidRDefault="004966CF" w:rsidP="004966CF">
      <w:pPr>
        <w:pStyle w:val="list-group-item"/>
        <w:numPr>
          <w:ilvl w:val="0"/>
          <w:numId w:val="4"/>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Deletion of materials and components of EEE from the lists when then conditions set out are no longer fulfilled.</w:t>
      </w:r>
    </w:p>
    <w:p w14:paraId="3953B003" w14:textId="77777777" w:rsidR="004966CF" w:rsidRDefault="004966CF" w:rsidP="004966CF">
      <w:pPr>
        <w:pStyle w:val="w-100"/>
        <w:spacing w:before="0" w:beforeAutospacing="0"/>
        <w:rPr>
          <w:rFonts w:ascii="Segoe UI" w:hAnsi="Segoe UI" w:cs="Segoe UI"/>
          <w:color w:val="212529"/>
        </w:rPr>
      </w:pPr>
      <w:r>
        <w:rPr>
          <w:rFonts w:ascii="Segoe UI" w:hAnsi="Segoe UI" w:cs="Segoe UI"/>
          <w:color w:val="212529"/>
        </w:rPr>
        <w:t>Measures adopted for categories 1 to 7 of Article 2, have a validity period of up to 5 years, and rest up to 7 years.</w:t>
      </w:r>
      <w:r>
        <w:rPr>
          <w:rFonts w:ascii="Segoe UI" w:hAnsi="Segoe UI" w:cs="Segoe UI"/>
          <w:color w:val="212529"/>
        </w:rPr>
        <w:br/>
        <w:t>Applications for granting, renewing, and revoking exemptions follow guidelines mentioned in Annex V.</w:t>
      </w:r>
    </w:p>
    <w:p w14:paraId="00D6D7DB" w14:textId="77777777" w:rsidR="004966CF" w:rsidRDefault="004966CF" w:rsidP="004966CF">
      <w:pPr>
        <w:pStyle w:val="text-body"/>
        <w:spacing w:before="0" w:beforeAutospacing="0"/>
        <w:rPr>
          <w:rFonts w:ascii="Segoe UI" w:hAnsi="Segoe UI" w:cs="Segoe UI"/>
          <w:color w:val="212529"/>
        </w:rPr>
      </w:pPr>
    </w:p>
    <w:p w14:paraId="4E44DA47" w14:textId="35A7EA22" w:rsidR="004966CF" w:rsidRDefault="004966CF" w:rsidP="004966CF">
      <w:pPr>
        <w:pStyle w:val="Heading4"/>
        <w:spacing w:before="0"/>
        <w:rPr>
          <w:rFonts w:ascii="Segoe UI" w:hAnsi="Segoe UI" w:cs="Segoe UI"/>
          <w:color w:val="212529"/>
        </w:rPr>
      </w:pPr>
      <w:r>
        <w:rPr>
          <w:rFonts w:ascii="Segoe UI" w:hAnsi="Segoe UI" w:cs="Segoe UI"/>
          <w:b/>
          <w:bCs/>
          <w:color w:val="212529"/>
        </w:rPr>
        <w:t>Article 6: Review and amendment of list of restricted substances in Annex II</w:t>
      </w:r>
    </w:p>
    <w:p w14:paraId="5E67C995" w14:textId="769F2541" w:rsidR="004966CF" w:rsidRDefault="004966CF" w:rsidP="004966CF">
      <w:pPr>
        <w:pStyle w:val="w-100"/>
        <w:spacing w:before="0" w:beforeAutospacing="0"/>
        <w:rPr>
          <w:rFonts w:ascii="Segoe UI" w:hAnsi="Segoe UI" w:cs="Segoe UI"/>
          <w:color w:val="212529"/>
        </w:rPr>
      </w:pPr>
      <w:r>
        <w:rPr>
          <w:rFonts w:ascii="Segoe UI" w:hAnsi="Segoe UI" w:cs="Segoe UI"/>
          <w:color w:val="212529"/>
        </w:rPr>
        <w:t xml:space="preserve">The review and amendment of the list of restricted substances shall be coherent with other legislation related to chemicals (REACH). The Commission shall </w:t>
      </w:r>
      <w:proofErr w:type="gramStart"/>
      <w:r>
        <w:rPr>
          <w:rFonts w:ascii="Segoe UI" w:hAnsi="Segoe UI" w:cs="Segoe UI"/>
          <w:color w:val="212529"/>
        </w:rPr>
        <w:t>take into account</w:t>
      </w:r>
      <w:proofErr w:type="gramEnd"/>
      <w:r>
        <w:rPr>
          <w:rFonts w:ascii="Segoe UI" w:hAnsi="Segoe UI" w:cs="Segoe UI"/>
          <w:color w:val="212529"/>
        </w:rPr>
        <w:t xml:space="preserve"> whether a substance:</w:t>
      </w:r>
    </w:p>
    <w:p w14:paraId="6940E077" w14:textId="4F3E0475" w:rsidR="004966CF" w:rsidRDefault="004966CF" w:rsidP="004966CF">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Could have a negative impact during EEE waste management operations.</w:t>
      </w:r>
    </w:p>
    <w:p w14:paraId="4EAD416E" w14:textId="2BFECE66" w:rsidR="004966CF" w:rsidRDefault="004966CF" w:rsidP="004966CF">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Could give rise to uncontrolled or diffuse release into the environment of the substance, or to hazardous residues, or transformation or degradation products through the preparation for reuse, recycling or other treatment of materials.</w:t>
      </w:r>
    </w:p>
    <w:p w14:paraId="67B3ECCE" w14:textId="77777777" w:rsidR="004966CF" w:rsidRDefault="004966CF" w:rsidP="004966CF">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Could lead to unacceptable exposure of workers involved in the waste EEE collection or treatment.</w:t>
      </w:r>
    </w:p>
    <w:p w14:paraId="7C907E7D" w14:textId="77777777" w:rsidR="004966CF" w:rsidRDefault="004966CF" w:rsidP="004966CF">
      <w:pPr>
        <w:pStyle w:val="list-group-item"/>
        <w:numPr>
          <w:ilvl w:val="0"/>
          <w:numId w:val="5"/>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Could be replaced by substitutes/alternatives which have less negative impact.</w:t>
      </w:r>
    </w:p>
    <w:p w14:paraId="4E517194" w14:textId="526531A9" w:rsidR="004966CF" w:rsidRDefault="004966CF" w:rsidP="004966CF">
      <w:pPr>
        <w:pStyle w:val="w-100"/>
        <w:spacing w:before="0" w:beforeAutospacing="0"/>
        <w:rPr>
          <w:rFonts w:ascii="Segoe UI" w:hAnsi="Segoe UI" w:cs="Segoe UI"/>
          <w:color w:val="212529"/>
        </w:rPr>
      </w:pPr>
      <w:r>
        <w:rPr>
          <w:rFonts w:ascii="Segoe UI" w:hAnsi="Segoe UI" w:cs="Segoe UI"/>
          <w:color w:val="212529"/>
        </w:rPr>
        <w:t>The proposal shall contain precise and clear wording of the proposed restriction, references and scientific evidence for the restriction, information on the use of substance, detrimental effects, possible alternatives, and socio-economic assessment.</w:t>
      </w:r>
    </w:p>
    <w:p w14:paraId="0F2F14C3" w14:textId="1C3C33B1" w:rsidR="004966CF" w:rsidRDefault="004966CF" w:rsidP="004966CF">
      <w:pPr>
        <w:pStyle w:val="w-100"/>
        <w:spacing w:before="0" w:beforeAutospacing="0"/>
        <w:rPr>
          <w:rFonts w:ascii="Segoe UI" w:hAnsi="Segoe UI" w:cs="Segoe UI"/>
          <w:color w:val="212529"/>
        </w:rPr>
      </w:pPr>
    </w:p>
    <w:p w14:paraId="56A0571F" w14:textId="5C0F71E2" w:rsidR="004966CF" w:rsidRDefault="004966CF" w:rsidP="004966CF">
      <w:pPr>
        <w:pStyle w:val="Heading4"/>
        <w:spacing w:before="0"/>
        <w:rPr>
          <w:rFonts w:ascii="Segoe UI" w:hAnsi="Segoe UI" w:cs="Segoe UI"/>
          <w:color w:val="212529"/>
        </w:rPr>
      </w:pPr>
      <w:r>
        <w:rPr>
          <w:rFonts w:ascii="Segoe UI" w:hAnsi="Segoe UI" w:cs="Segoe UI"/>
          <w:b/>
          <w:bCs/>
          <w:color w:val="212529"/>
        </w:rPr>
        <w:t>Article 7: Obligations of manufacturers</w:t>
      </w:r>
    </w:p>
    <w:p w14:paraId="603B1275" w14:textId="77777777" w:rsidR="004966CF" w:rsidRDefault="004966CF" w:rsidP="004966CF">
      <w:pPr>
        <w:pStyle w:val="w-100"/>
        <w:spacing w:before="0" w:beforeAutospacing="0"/>
        <w:rPr>
          <w:rFonts w:ascii="Segoe UI" w:hAnsi="Segoe UI" w:cs="Segoe UI"/>
          <w:color w:val="212529"/>
        </w:rPr>
      </w:pPr>
      <w:r>
        <w:rPr>
          <w:rFonts w:ascii="Segoe UI" w:hAnsi="Segoe UI" w:cs="Segoe UI"/>
          <w:color w:val="212529"/>
        </w:rPr>
        <w:t>Member states shall ensure that:</w:t>
      </w:r>
    </w:p>
    <w:p w14:paraId="2D32BC46" w14:textId="08B756B6" w:rsidR="004966CF" w:rsidRDefault="004966CF" w:rsidP="004966CF">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When placing EEE on the market, manufacturers ensure that it has been designed and manufactured in accordance with the requirements set in Article 4 i.e. use of substances below threshold limits (subject to exemptions).</w:t>
      </w:r>
    </w:p>
    <w:p w14:paraId="11D90C72" w14:textId="1FF24AF8" w:rsidR="004966CF" w:rsidRDefault="004966CF" w:rsidP="004966CF">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Manufacturers draw up the required technical documentation and carry out the internal production control procedure.</w:t>
      </w:r>
    </w:p>
    <w:p w14:paraId="4EBF196D" w14:textId="77777777" w:rsidR="004966CF" w:rsidRDefault="004966CF" w:rsidP="004966CF">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Could lead to unacceptable exposure of workers involved in the waste EEE collection or treatment.</w:t>
      </w:r>
    </w:p>
    <w:p w14:paraId="143F444A" w14:textId="1C003444" w:rsidR="004966CF" w:rsidRDefault="004966CF" w:rsidP="004966CF">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Once compliance of manufactured EEE has been demonstrated, manufacturers draw up an EU declaration of conformity and affix the CE marking on the finished product. It </w:t>
      </w:r>
      <w:r>
        <w:rPr>
          <w:rFonts w:ascii="Segoe UI" w:hAnsi="Segoe UI" w:cs="Segoe UI"/>
          <w:color w:val="212529"/>
        </w:rPr>
        <w:t>must</w:t>
      </w:r>
      <w:r>
        <w:rPr>
          <w:rFonts w:ascii="Segoe UI" w:hAnsi="Segoe UI" w:cs="Segoe UI"/>
          <w:color w:val="212529"/>
        </w:rPr>
        <w:t xml:space="preserve"> be kept by them for 10 years. They also should keep a register of non-conforming EEE and product recalls, and keep distributors informed.</w:t>
      </w:r>
    </w:p>
    <w:p w14:paraId="5A2B8E9E" w14:textId="471B449F" w:rsidR="004966CF" w:rsidRDefault="004966CF" w:rsidP="004966CF">
      <w:pPr>
        <w:pStyle w:val="list-group-item"/>
        <w:numPr>
          <w:ilvl w:val="0"/>
          <w:numId w:val="6"/>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Manufacturers should ensure that EEE bears a type, batch number, their name, registered </w:t>
      </w:r>
      <w:r>
        <w:rPr>
          <w:rFonts w:ascii="Segoe UI" w:hAnsi="Segoe UI" w:cs="Segoe UI"/>
          <w:color w:val="212529"/>
        </w:rPr>
        <w:t>trademark</w:t>
      </w:r>
      <w:r>
        <w:rPr>
          <w:rFonts w:ascii="Segoe UI" w:hAnsi="Segoe UI" w:cs="Segoe UI"/>
          <w:color w:val="212529"/>
        </w:rPr>
        <w:t>, and contact address. At any point in future, if manufacturers believe that EEE does not conform to regulations, they should immediately take measures to withdraw or recall it.</w:t>
      </w:r>
    </w:p>
    <w:p w14:paraId="4C97BF47" w14:textId="77777777" w:rsidR="004966CF" w:rsidRDefault="004966CF" w:rsidP="004966CF">
      <w:pPr>
        <w:pStyle w:val="w-100"/>
        <w:spacing w:before="0" w:beforeAutospacing="0"/>
        <w:rPr>
          <w:rFonts w:ascii="Segoe UI" w:hAnsi="Segoe UI" w:cs="Segoe UI"/>
          <w:color w:val="212529"/>
        </w:rPr>
      </w:pPr>
    </w:p>
    <w:p w14:paraId="3289E169" w14:textId="1E740FD0" w:rsidR="004966CF" w:rsidRDefault="004966CF" w:rsidP="004966CF">
      <w:pPr>
        <w:pStyle w:val="Heading4"/>
        <w:spacing w:before="0"/>
        <w:rPr>
          <w:rFonts w:ascii="Segoe UI" w:hAnsi="Segoe UI" w:cs="Segoe UI"/>
          <w:color w:val="212529"/>
        </w:rPr>
      </w:pPr>
      <w:r>
        <w:rPr>
          <w:rFonts w:ascii="Segoe UI" w:hAnsi="Segoe UI" w:cs="Segoe UI"/>
          <w:b/>
          <w:bCs/>
          <w:color w:val="212529"/>
        </w:rPr>
        <w:t xml:space="preserve">Article 8: Obligations of </w:t>
      </w:r>
      <w:r>
        <w:rPr>
          <w:rFonts w:ascii="Segoe UI" w:hAnsi="Segoe UI" w:cs="Segoe UI"/>
          <w:b/>
          <w:bCs/>
          <w:color w:val="212529"/>
        </w:rPr>
        <w:t>authorized</w:t>
      </w:r>
      <w:r>
        <w:rPr>
          <w:rFonts w:ascii="Segoe UI" w:hAnsi="Segoe UI" w:cs="Segoe UI"/>
          <w:b/>
          <w:bCs/>
          <w:color w:val="212529"/>
        </w:rPr>
        <w:t xml:space="preserve"> representatives</w:t>
      </w:r>
    </w:p>
    <w:p w14:paraId="6E99512F" w14:textId="28AFFE42" w:rsidR="004966CF" w:rsidRDefault="004966CF" w:rsidP="004966CF">
      <w:pPr>
        <w:pStyle w:val="w-100"/>
        <w:spacing w:before="0" w:beforeAutospacing="0"/>
        <w:rPr>
          <w:rFonts w:ascii="Segoe UI" w:hAnsi="Segoe UI" w:cs="Segoe UI"/>
          <w:color w:val="212529"/>
        </w:rPr>
      </w:pPr>
      <w:r>
        <w:rPr>
          <w:rFonts w:ascii="Segoe UI" w:hAnsi="Segoe UI" w:cs="Segoe UI"/>
          <w:color w:val="212529"/>
        </w:rPr>
        <w:t xml:space="preserve">Manufacturers have the possibility to appoint an </w:t>
      </w:r>
      <w:r>
        <w:rPr>
          <w:rFonts w:ascii="Segoe UI" w:hAnsi="Segoe UI" w:cs="Segoe UI"/>
          <w:color w:val="212529"/>
        </w:rPr>
        <w:t>authorized</w:t>
      </w:r>
      <w:r>
        <w:rPr>
          <w:rFonts w:ascii="Segoe UI" w:hAnsi="Segoe UI" w:cs="Segoe UI"/>
          <w:color w:val="212529"/>
        </w:rPr>
        <w:t xml:space="preserve"> representative by written mandate. The Obligations laid out in Article 7 and drawing up of technical documentation shall not form part of the </w:t>
      </w:r>
      <w:r>
        <w:rPr>
          <w:rFonts w:ascii="Segoe UI" w:hAnsi="Segoe UI" w:cs="Segoe UI"/>
          <w:color w:val="212529"/>
        </w:rPr>
        <w:t>authorized</w:t>
      </w:r>
      <w:r>
        <w:rPr>
          <w:rFonts w:ascii="Segoe UI" w:hAnsi="Segoe UI" w:cs="Segoe UI"/>
          <w:color w:val="212529"/>
        </w:rPr>
        <w:t xml:space="preserve"> representative's mandate.</w:t>
      </w:r>
    </w:p>
    <w:p w14:paraId="02B9F12A" w14:textId="32657ACD" w:rsidR="004966CF" w:rsidRDefault="004966CF" w:rsidP="004966CF">
      <w:pPr>
        <w:pStyle w:val="w-100"/>
        <w:spacing w:before="0" w:beforeAutospacing="0"/>
        <w:rPr>
          <w:rFonts w:ascii="Segoe UI" w:hAnsi="Segoe UI" w:cs="Segoe UI"/>
          <w:color w:val="212529"/>
        </w:rPr>
      </w:pPr>
    </w:p>
    <w:p w14:paraId="5B5621BC" w14:textId="33D44E31" w:rsidR="004966CF" w:rsidRDefault="004966CF" w:rsidP="004966CF">
      <w:pPr>
        <w:pStyle w:val="Heading4"/>
        <w:spacing w:before="0"/>
        <w:rPr>
          <w:rFonts w:ascii="Segoe UI" w:hAnsi="Segoe UI" w:cs="Segoe UI"/>
          <w:color w:val="212529"/>
        </w:rPr>
      </w:pPr>
      <w:r>
        <w:rPr>
          <w:rFonts w:ascii="Segoe UI" w:hAnsi="Segoe UI" w:cs="Segoe UI"/>
          <w:b/>
          <w:bCs/>
          <w:color w:val="212529"/>
        </w:rPr>
        <w:t>Article 9: Obligations of importers</w:t>
      </w:r>
    </w:p>
    <w:p w14:paraId="001016E5" w14:textId="21A8E5AC" w:rsidR="004966CF" w:rsidRDefault="004966CF" w:rsidP="004966CF">
      <w:pPr>
        <w:pStyle w:val="w-100"/>
        <w:spacing w:before="0" w:beforeAutospacing="0"/>
        <w:rPr>
          <w:rFonts w:ascii="Segoe UI" w:hAnsi="Segoe UI" w:cs="Segoe UI"/>
          <w:color w:val="212529"/>
        </w:rPr>
      </w:pPr>
      <w:r>
        <w:rPr>
          <w:rFonts w:ascii="Segoe UI" w:hAnsi="Segoe UI" w:cs="Segoe UI"/>
          <w:color w:val="212529"/>
        </w:rPr>
        <w:t>Member states shall ensure that:</w:t>
      </w:r>
    </w:p>
    <w:p w14:paraId="5D50F87F" w14:textId="1B2C83D4" w:rsidR="004966CF" w:rsidRDefault="004966CF" w:rsidP="004966CF">
      <w:pPr>
        <w:pStyle w:val="list-group-item"/>
        <w:numPr>
          <w:ilvl w:val="0"/>
          <w:numId w:val="7"/>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Importers place only EEE that complies with this Directive on the Union market.</w:t>
      </w:r>
    </w:p>
    <w:p w14:paraId="044AF75B" w14:textId="0819B567" w:rsidR="004966CF" w:rsidRDefault="004966CF" w:rsidP="004966CF">
      <w:pPr>
        <w:pStyle w:val="list-group-item"/>
        <w:numPr>
          <w:ilvl w:val="0"/>
          <w:numId w:val="7"/>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Importers who consider or have reason to believe that an EEE is not in conformity with Article 4, do not place EEE on market and take corrective measures to bring it to conformity.</w:t>
      </w:r>
    </w:p>
    <w:p w14:paraId="4B001F52" w14:textId="0E2B9CBE" w:rsidR="004966CF" w:rsidRDefault="004966CF" w:rsidP="004966CF">
      <w:pPr>
        <w:pStyle w:val="list-group-item"/>
        <w:numPr>
          <w:ilvl w:val="0"/>
          <w:numId w:val="7"/>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Importers </w:t>
      </w:r>
      <w:r>
        <w:rPr>
          <w:rFonts w:ascii="Segoe UI" w:hAnsi="Segoe UI" w:cs="Segoe UI"/>
          <w:color w:val="212529"/>
        </w:rPr>
        <w:t>must</w:t>
      </w:r>
      <w:r>
        <w:rPr>
          <w:rFonts w:ascii="Segoe UI" w:hAnsi="Segoe UI" w:cs="Segoe UI"/>
          <w:color w:val="212529"/>
        </w:rPr>
        <w:t xml:space="preserve"> keep the documentation for 10 years like the manufacturers.</w:t>
      </w:r>
    </w:p>
    <w:p w14:paraId="7A24DA32" w14:textId="77777777" w:rsidR="004966CF" w:rsidRDefault="004966CF" w:rsidP="004966CF">
      <w:pPr>
        <w:pStyle w:val="w-100"/>
        <w:spacing w:before="0" w:beforeAutospacing="0"/>
        <w:rPr>
          <w:rFonts w:ascii="Segoe UI" w:hAnsi="Segoe UI" w:cs="Segoe UI"/>
          <w:color w:val="212529"/>
        </w:rPr>
      </w:pPr>
    </w:p>
    <w:p w14:paraId="39C58047" w14:textId="1EC1301B" w:rsidR="004966CF" w:rsidRDefault="004966CF" w:rsidP="004966CF">
      <w:pPr>
        <w:pStyle w:val="Heading4"/>
        <w:spacing w:before="0"/>
        <w:rPr>
          <w:rFonts w:ascii="Segoe UI" w:hAnsi="Segoe UI" w:cs="Segoe UI"/>
          <w:color w:val="212529"/>
        </w:rPr>
      </w:pPr>
      <w:r>
        <w:rPr>
          <w:rFonts w:ascii="Segoe UI" w:hAnsi="Segoe UI" w:cs="Segoe UI"/>
          <w:b/>
          <w:bCs/>
          <w:color w:val="212529"/>
        </w:rPr>
        <w:lastRenderedPageBreak/>
        <w:t>Article 10: Obligations of distributors</w:t>
      </w:r>
    </w:p>
    <w:p w14:paraId="18DE97C5" w14:textId="24ED7C01" w:rsidR="004966CF" w:rsidRDefault="004966CF" w:rsidP="004966CF">
      <w:pPr>
        <w:pStyle w:val="w-100"/>
        <w:spacing w:before="0" w:beforeAutospacing="0"/>
        <w:rPr>
          <w:rFonts w:ascii="Segoe UI" w:hAnsi="Segoe UI" w:cs="Segoe UI"/>
          <w:color w:val="212529"/>
        </w:rPr>
      </w:pPr>
      <w:r>
        <w:rPr>
          <w:rFonts w:ascii="Segoe UI" w:hAnsi="Segoe UI" w:cs="Segoe UI"/>
          <w:color w:val="212529"/>
        </w:rPr>
        <w:t>Member states shall ensure that:</w:t>
      </w:r>
    </w:p>
    <w:p w14:paraId="02B668D7" w14:textId="05A874E5" w:rsidR="004966CF" w:rsidRDefault="004966CF" w:rsidP="004966CF">
      <w:pPr>
        <w:pStyle w:val="list-group-item"/>
        <w:numPr>
          <w:ilvl w:val="0"/>
          <w:numId w:val="8"/>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 xml:space="preserve">When making an EEE available on the market, distributors act with due care to the requirements applicable </w:t>
      </w:r>
      <w:proofErr w:type="gramStart"/>
      <w:r>
        <w:rPr>
          <w:rFonts w:ascii="Segoe UI" w:hAnsi="Segoe UI" w:cs="Segoe UI"/>
          <w:color w:val="212529"/>
          <w:shd w:val="clear" w:color="auto" w:fill="FFFFFF"/>
        </w:rPr>
        <w:t xml:space="preserve">in particular </w:t>
      </w:r>
      <w:r>
        <w:rPr>
          <w:rFonts w:ascii="Segoe UI" w:hAnsi="Segoe UI" w:cs="Segoe UI"/>
          <w:color w:val="212529"/>
          <w:shd w:val="clear" w:color="auto" w:fill="FFFFFF"/>
        </w:rPr>
        <w:t>by</w:t>
      </w:r>
      <w:proofErr w:type="gramEnd"/>
      <w:r>
        <w:rPr>
          <w:rFonts w:ascii="Segoe UI" w:hAnsi="Segoe UI" w:cs="Segoe UI"/>
          <w:color w:val="212529"/>
          <w:shd w:val="clear" w:color="auto" w:fill="FFFFFF"/>
        </w:rPr>
        <w:t xml:space="preserve"> verifying that EEE bears CE </w:t>
      </w:r>
      <w:r>
        <w:rPr>
          <w:rFonts w:ascii="Segoe UI" w:hAnsi="Segoe UI" w:cs="Segoe UI"/>
          <w:color w:val="212529"/>
          <w:shd w:val="clear" w:color="auto" w:fill="FFFFFF"/>
        </w:rPr>
        <w:t>marking and</w:t>
      </w:r>
      <w:r>
        <w:rPr>
          <w:rFonts w:ascii="Segoe UI" w:hAnsi="Segoe UI" w:cs="Segoe UI"/>
          <w:color w:val="212529"/>
          <w:shd w:val="clear" w:color="auto" w:fill="FFFFFF"/>
        </w:rPr>
        <w:t xml:space="preserve"> is accompanied by required documents.</w:t>
      </w:r>
    </w:p>
    <w:p w14:paraId="2E7125E0" w14:textId="5B69BE4D" w:rsidR="004966CF" w:rsidRDefault="004966CF" w:rsidP="004966CF">
      <w:pPr>
        <w:pStyle w:val="list-group-item"/>
        <w:numPr>
          <w:ilvl w:val="0"/>
          <w:numId w:val="8"/>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Distributors who consider or have reason to believe that an EEE is not in conformity with Article 4, do not place EEE on market and take corrective measures to bring it to conformity.</w:t>
      </w:r>
    </w:p>
    <w:p w14:paraId="7A9F3C84" w14:textId="45BAF32D" w:rsidR="004966CF" w:rsidRDefault="004966CF" w:rsidP="004966CF">
      <w:pPr>
        <w:pStyle w:val="w-100"/>
        <w:spacing w:before="0" w:beforeAutospacing="0"/>
        <w:rPr>
          <w:rFonts w:ascii="Segoe UI" w:hAnsi="Segoe UI" w:cs="Segoe UI"/>
          <w:color w:val="212529"/>
        </w:rPr>
      </w:pPr>
    </w:p>
    <w:p w14:paraId="406A456C" w14:textId="7BE3BC61" w:rsidR="004966CF" w:rsidRDefault="004966CF" w:rsidP="004966CF">
      <w:pPr>
        <w:pStyle w:val="Heading4"/>
        <w:spacing w:before="0"/>
        <w:rPr>
          <w:rFonts w:ascii="Segoe UI" w:hAnsi="Segoe UI" w:cs="Segoe UI"/>
          <w:color w:val="212529"/>
        </w:rPr>
      </w:pPr>
      <w:r>
        <w:rPr>
          <w:rFonts w:ascii="Segoe UI" w:hAnsi="Segoe UI" w:cs="Segoe UI"/>
          <w:b/>
          <w:bCs/>
          <w:color w:val="212529"/>
        </w:rPr>
        <w:t>Articles 11 - 28</w:t>
      </w:r>
    </w:p>
    <w:p w14:paraId="56145F21" w14:textId="343D76C0"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shd w:val="clear" w:color="auto" w:fill="FFFFFF"/>
        </w:rPr>
        <w:t>Article 11: Cases in which obligations of manufacturers apply to importers and distributors. If importers/distributors place EEE on the market under his name/</w:t>
      </w:r>
      <w:r>
        <w:rPr>
          <w:rFonts w:ascii="Segoe UI" w:hAnsi="Segoe UI" w:cs="Segoe UI"/>
          <w:color w:val="212529"/>
          <w:shd w:val="clear" w:color="auto" w:fill="FFFFFF"/>
        </w:rPr>
        <w:t>trademark or</w:t>
      </w:r>
      <w:r>
        <w:rPr>
          <w:rFonts w:ascii="Segoe UI" w:hAnsi="Segoe UI" w:cs="Segoe UI"/>
          <w:color w:val="212529"/>
          <w:shd w:val="clear" w:color="auto" w:fill="FFFFFF"/>
        </w:rPr>
        <w:t xml:space="preserve"> modifies existing EEE.</w:t>
      </w:r>
    </w:p>
    <w:p w14:paraId="48AEECED" w14:textId="06A07E2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12: Identification of economic operators. Economic operators must divulge their suppliers and customers to authorities for 10 years following the placing of EEE on market.</w:t>
      </w:r>
    </w:p>
    <w:p w14:paraId="79C4198F" w14:textId="12C657DA"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Article 13: EU declaration of conformity. It must include UID, name and address of manufacturer. Also, the object of declaration, </w:t>
      </w:r>
      <w:r>
        <w:rPr>
          <w:rFonts w:ascii="Segoe UI" w:hAnsi="Segoe UI" w:cs="Segoe UI"/>
          <w:color w:val="212529"/>
        </w:rPr>
        <w:t>wherever</w:t>
      </w:r>
      <w:r>
        <w:rPr>
          <w:rFonts w:ascii="Segoe UI" w:hAnsi="Segoe UI" w:cs="Segoe UI"/>
          <w:color w:val="212529"/>
        </w:rPr>
        <w:t xml:space="preserve"> applicable, references to the relevant harmonized standards, and additional information like signature.</w:t>
      </w:r>
    </w:p>
    <w:p w14:paraId="73157E81"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14: General principles of CE marking. These general principles are set out in Article 30 of Regulation (EC) No 765/2008.</w:t>
      </w:r>
    </w:p>
    <w:p w14:paraId="1AA308F0" w14:textId="4E7F0B25"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Article 15: Rules and conditions for affixing the CE marking. It should be visible and </w:t>
      </w:r>
      <w:r>
        <w:rPr>
          <w:rFonts w:ascii="Segoe UI" w:hAnsi="Segoe UI" w:cs="Segoe UI"/>
          <w:color w:val="212529"/>
        </w:rPr>
        <w:t>legible and</w:t>
      </w:r>
      <w:r>
        <w:rPr>
          <w:rFonts w:ascii="Segoe UI" w:hAnsi="Segoe UI" w:cs="Segoe UI"/>
          <w:color w:val="212529"/>
        </w:rPr>
        <w:t xml:space="preserve"> should be placed before placing EEE on market.</w:t>
      </w:r>
    </w:p>
    <w:p w14:paraId="7B9A8C37"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16: Presumption of conformity. In case of absence of evidence, member states shall presume EEE bearing CE marking to comply with this Directive.</w:t>
      </w:r>
    </w:p>
    <w:p w14:paraId="7302208D"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17: Formal objection to a harmonized standard. If the harmonized standard does not entirely satisfies the requirements which it covers and which are set out in Article 4, the Commission or Member state concerned shall bring the matter before the Committee set up pursuant to Article 5 of Directive 98/34/EC, giving its arguments.</w:t>
      </w:r>
    </w:p>
    <w:p w14:paraId="33A7A3C1" w14:textId="4C1EE149"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Article 18: Market surveillance and controls of EEE entering the Union market. </w:t>
      </w:r>
      <w:r>
        <w:rPr>
          <w:rFonts w:ascii="Segoe UI" w:hAnsi="Segoe UI" w:cs="Segoe UI"/>
          <w:color w:val="212529"/>
        </w:rPr>
        <w:t>Member</w:t>
      </w:r>
      <w:r>
        <w:rPr>
          <w:rFonts w:ascii="Segoe UI" w:hAnsi="Segoe UI" w:cs="Segoe UI"/>
          <w:color w:val="212529"/>
        </w:rPr>
        <w:t xml:space="preserve"> states shall carry out market surveillance in accordance with Articles 15 to 29 of Regulation (EC) No 765/2008, setting out requirements for accreditation and market surveillance relating to the marketing of products.</w:t>
      </w:r>
    </w:p>
    <w:p w14:paraId="4141F78F"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19: Committee procedure. The Commission shall be assisted by the committee set up pursuant to Article 39 of Directive 2008/98/EC.</w:t>
      </w:r>
    </w:p>
    <w:p w14:paraId="1AC2F7A0" w14:textId="6CEB0580"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lastRenderedPageBreak/>
        <w:t xml:space="preserve">Article 20: Exercise of the delegation. The powers to adopt the delegated acts referred to in Article 4, 5 and 6 shall be conferred on the Commission for a period of 5 years from 21 </w:t>
      </w:r>
      <w:r>
        <w:rPr>
          <w:rFonts w:ascii="Segoe UI" w:hAnsi="Segoe UI" w:cs="Segoe UI"/>
          <w:color w:val="212529"/>
        </w:rPr>
        <w:t>July</w:t>
      </w:r>
      <w:r>
        <w:rPr>
          <w:rFonts w:ascii="Segoe UI" w:hAnsi="Segoe UI" w:cs="Segoe UI"/>
          <w:color w:val="212529"/>
        </w:rPr>
        <w:t xml:space="preserve"> 2011.</w:t>
      </w:r>
    </w:p>
    <w:p w14:paraId="44A28453"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21: Revocation of the delegation. The delegation of power referred to in Article 4, 5 and 6 may be revoked at any time by EU Parliament or by the Council.</w:t>
      </w:r>
    </w:p>
    <w:p w14:paraId="29BB3DC5"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22: Objections to the delegated acts. The EU Parliament or Council may be object to a delegated act within a period of 2 months from the date of notification.</w:t>
      </w:r>
    </w:p>
    <w:p w14:paraId="0F3D6B56"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23: Penalties. The Member states shall lay down the rules on penalties and ensure that they are implemented.</w:t>
      </w:r>
    </w:p>
    <w:p w14:paraId="424B81A2" w14:textId="04D4B5AB"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 xml:space="preserve">Article 24: Review. The Commission shall examine the need to amend the scope of this Directive. No later than 22 </w:t>
      </w:r>
      <w:r>
        <w:rPr>
          <w:rFonts w:ascii="Segoe UI" w:hAnsi="Segoe UI" w:cs="Segoe UI"/>
          <w:color w:val="212529"/>
        </w:rPr>
        <w:t>July</w:t>
      </w:r>
      <w:r>
        <w:rPr>
          <w:rFonts w:ascii="Segoe UI" w:hAnsi="Segoe UI" w:cs="Segoe UI"/>
          <w:color w:val="212529"/>
        </w:rPr>
        <w:t xml:space="preserve"> 2021 the Commission shall carry out a general review of this Directive and present a report to EU Parliament and Council.</w:t>
      </w:r>
    </w:p>
    <w:p w14:paraId="65B8F0F3"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25: Transposition. Member states shall adopt and publish the laws, regulations and administrative provisions necessary to comply with this Directive.</w:t>
      </w:r>
    </w:p>
    <w:p w14:paraId="030096F6"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26: Repeal. Annex VII Part A: Repealed Directive with its successive amendments; Part B: List of time-limits for transposition into national law; Correlation table: Table correlating RoHS1 and RoHS2 Directives.</w:t>
      </w:r>
    </w:p>
    <w:p w14:paraId="48AC186F"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27: Entry into Force. The day when this directive shall be enforced.</w:t>
      </w:r>
    </w:p>
    <w:p w14:paraId="0D323598" w14:textId="77777777" w:rsidR="004966CF" w:rsidRDefault="004966CF" w:rsidP="004966CF">
      <w:pPr>
        <w:pStyle w:val="list-group-item"/>
        <w:numPr>
          <w:ilvl w:val="0"/>
          <w:numId w:val="9"/>
        </w:numPr>
        <w:pBdr>
          <w:top w:val="single" w:sz="2" w:space="0" w:color="auto"/>
          <w:left w:val="single" w:sz="6" w:space="0" w:color="auto"/>
          <w:bottom w:val="single" w:sz="6" w:space="0" w:color="auto"/>
          <w:right w:val="single" w:sz="6" w:space="0" w:color="auto"/>
        </w:pBdr>
        <w:shd w:val="clear" w:color="auto" w:fill="FFFFFF"/>
        <w:rPr>
          <w:rFonts w:ascii="Segoe UI" w:hAnsi="Segoe UI" w:cs="Segoe UI"/>
          <w:color w:val="212529"/>
        </w:rPr>
      </w:pPr>
      <w:r>
        <w:rPr>
          <w:rFonts w:ascii="Segoe UI" w:hAnsi="Segoe UI" w:cs="Segoe UI"/>
          <w:color w:val="212529"/>
        </w:rPr>
        <w:t>Article 28: Addressees. This Directive is addressed to Member States.</w:t>
      </w:r>
    </w:p>
    <w:p w14:paraId="300FE3C2" w14:textId="77777777" w:rsidR="004966CF" w:rsidRDefault="004966CF" w:rsidP="004966CF">
      <w:pPr>
        <w:pStyle w:val="w-100"/>
        <w:spacing w:before="0" w:beforeAutospacing="0"/>
        <w:rPr>
          <w:rFonts w:ascii="Segoe UI" w:hAnsi="Segoe UI" w:cs="Segoe UI"/>
          <w:color w:val="212529"/>
        </w:rPr>
      </w:pPr>
    </w:p>
    <w:p w14:paraId="6D511C09" w14:textId="02B364B3" w:rsidR="004966CF" w:rsidRDefault="004966CF" w:rsidP="004966CF">
      <w:pPr>
        <w:pStyle w:val="w-100"/>
        <w:spacing w:before="0" w:beforeAutospacing="0"/>
        <w:rPr>
          <w:rStyle w:val="Strong"/>
          <w:rFonts w:ascii="Segoe UI" w:hAnsi="Segoe UI" w:cs="Segoe UI"/>
          <w:shd w:val="clear" w:color="auto" w:fill="FFFFFF"/>
        </w:rPr>
      </w:pPr>
      <w:r>
        <w:rPr>
          <w:rStyle w:val="Strong"/>
          <w:rFonts w:ascii="Segoe UI" w:hAnsi="Segoe UI" w:cs="Segoe UI"/>
          <w:shd w:val="clear" w:color="auto" w:fill="FFFFFF"/>
        </w:rPr>
        <w:t xml:space="preserve">This Directive shall apply without prejudice to the requirements of Union Legislation on safety and health, and on chemicals, </w:t>
      </w:r>
      <w:proofErr w:type="gramStart"/>
      <w:r>
        <w:rPr>
          <w:rStyle w:val="Strong"/>
          <w:rFonts w:ascii="Segoe UI" w:hAnsi="Segoe UI" w:cs="Segoe UI"/>
          <w:shd w:val="clear" w:color="auto" w:fill="FFFFFF"/>
        </w:rPr>
        <w:t>in particular to</w:t>
      </w:r>
      <w:proofErr w:type="gramEnd"/>
      <w:r>
        <w:rPr>
          <w:rStyle w:val="Strong"/>
          <w:rFonts w:ascii="Segoe UI" w:hAnsi="Segoe UI" w:cs="Segoe UI"/>
          <w:shd w:val="clear" w:color="auto" w:fill="FFFFFF"/>
        </w:rPr>
        <w:t xml:space="preserve"> those specified in REACH, as well as requirements of specific Union waste management legislation.</w:t>
      </w:r>
    </w:p>
    <w:p w14:paraId="755CC30B" w14:textId="77777777" w:rsidR="004966CF" w:rsidRDefault="004966CF" w:rsidP="004966CF">
      <w:pPr>
        <w:pStyle w:val="w-100"/>
        <w:spacing w:before="0" w:beforeAutospacing="0"/>
        <w:rPr>
          <w:rFonts w:ascii="Segoe UI" w:hAnsi="Segoe UI" w:cs="Segoe UI"/>
          <w:color w:val="212529"/>
        </w:rPr>
      </w:pPr>
    </w:p>
    <w:p w14:paraId="6CD6C91A" w14:textId="77777777" w:rsidR="004966CF" w:rsidRDefault="004966CF" w:rsidP="004966CF">
      <w:pPr>
        <w:pStyle w:val="w-100"/>
        <w:spacing w:before="0" w:beforeAutospacing="0"/>
        <w:rPr>
          <w:rFonts w:ascii="Segoe UI" w:hAnsi="Segoe UI" w:cs="Segoe UI"/>
          <w:color w:val="212529"/>
        </w:rPr>
      </w:pPr>
    </w:p>
    <w:p w14:paraId="403240FA" w14:textId="77777777" w:rsidR="004966CF" w:rsidRDefault="004966CF" w:rsidP="004966CF">
      <w:pPr>
        <w:pStyle w:val="text-body"/>
        <w:spacing w:before="0" w:beforeAutospacing="0"/>
        <w:rPr>
          <w:rFonts w:ascii="Segoe UI" w:hAnsi="Segoe UI" w:cs="Segoe UI"/>
          <w:color w:val="212529"/>
        </w:rPr>
      </w:pPr>
    </w:p>
    <w:p w14:paraId="0F1E4E82" w14:textId="77777777" w:rsidR="008E7519" w:rsidRDefault="008E7519"/>
    <w:sectPr w:rsidR="008E7519" w:rsidSect="004966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095B"/>
    <w:multiLevelType w:val="multilevel"/>
    <w:tmpl w:val="30C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512"/>
    <w:multiLevelType w:val="multilevel"/>
    <w:tmpl w:val="082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F793E"/>
    <w:multiLevelType w:val="multilevel"/>
    <w:tmpl w:val="1C8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A3073"/>
    <w:multiLevelType w:val="multilevel"/>
    <w:tmpl w:val="AC4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B4A1A"/>
    <w:multiLevelType w:val="multilevel"/>
    <w:tmpl w:val="2B4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34C76"/>
    <w:multiLevelType w:val="multilevel"/>
    <w:tmpl w:val="398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66680"/>
    <w:multiLevelType w:val="multilevel"/>
    <w:tmpl w:val="005C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822B3"/>
    <w:multiLevelType w:val="multilevel"/>
    <w:tmpl w:val="DCF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80827"/>
    <w:multiLevelType w:val="multilevel"/>
    <w:tmpl w:val="C02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6"/>
  </w:num>
  <w:num w:numId="5">
    <w:abstractNumId w:val="3"/>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CF"/>
    <w:rsid w:val="004966CF"/>
    <w:rsid w:val="008E7519"/>
    <w:rsid w:val="00E1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F4EC"/>
  <w15:chartTrackingRefBased/>
  <w15:docId w15:val="{EEE843C5-CDD7-4ABE-977C-C718D1C0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6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966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6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6CF"/>
    <w:rPr>
      <w:rFonts w:ascii="Times New Roman" w:eastAsia="Times New Roman" w:hAnsi="Times New Roman" w:cs="Times New Roman"/>
      <w:b/>
      <w:bCs/>
      <w:sz w:val="36"/>
      <w:szCs w:val="36"/>
    </w:rPr>
  </w:style>
  <w:style w:type="paragraph" w:customStyle="1" w:styleId="w-100">
    <w:name w:val="w-100"/>
    <w:basedOn w:val="Normal"/>
    <w:rsid w:val="00496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496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966CF"/>
    <w:rPr>
      <w:rFonts w:asciiTheme="majorHAnsi" w:eastAsiaTheme="majorEastAsia" w:hAnsiTheme="majorHAnsi" w:cstheme="majorBidi"/>
      <w:i/>
      <w:iCs/>
      <w:color w:val="2F5496" w:themeColor="accent1" w:themeShade="BF"/>
    </w:rPr>
  </w:style>
  <w:style w:type="paragraph" w:customStyle="1" w:styleId="text-body">
    <w:name w:val="text-body"/>
    <w:basedOn w:val="Normal"/>
    <w:rsid w:val="00496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496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496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966CF"/>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4966CF"/>
    <w:rPr>
      <w:b/>
      <w:bCs/>
    </w:rPr>
  </w:style>
  <w:style w:type="paragraph" w:styleId="NoSpacing">
    <w:name w:val="No Spacing"/>
    <w:link w:val="NoSpacingChar"/>
    <w:uiPriority w:val="1"/>
    <w:qFormat/>
    <w:rsid w:val="004966CF"/>
    <w:pPr>
      <w:spacing w:after="0" w:line="240" w:lineRule="auto"/>
    </w:pPr>
    <w:rPr>
      <w:rFonts w:eastAsiaTheme="minorEastAsia"/>
    </w:rPr>
  </w:style>
  <w:style w:type="character" w:customStyle="1" w:styleId="NoSpacingChar">
    <w:name w:val="No Spacing Char"/>
    <w:basedOn w:val="DefaultParagraphFont"/>
    <w:link w:val="NoSpacing"/>
    <w:uiPriority w:val="1"/>
    <w:rsid w:val="004966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0195">
      <w:bodyDiv w:val="1"/>
      <w:marLeft w:val="0"/>
      <w:marRight w:val="0"/>
      <w:marTop w:val="0"/>
      <w:marBottom w:val="0"/>
      <w:divBdr>
        <w:top w:val="none" w:sz="0" w:space="0" w:color="auto"/>
        <w:left w:val="none" w:sz="0" w:space="0" w:color="auto"/>
        <w:bottom w:val="none" w:sz="0" w:space="0" w:color="auto"/>
        <w:right w:val="none" w:sz="0" w:space="0" w:color="auto"/>
      </w:divBdr>
    </w:div>
    <w:div w:id="115492207">
      <w:bodyDiv w:val="1"/>
      <w:marLeft w:val="0"/>
      <w:marRight w:val="0"/>
      <w:marTop w:val="0"/>
      <w:marBottom w:val="0"/>
      <w:divBdr>
        <w:top w:val="none" w:sz="0" w:space="0" w:color="auto"/>
        <w:left w:val="none" w:sz="0" w:space="0" w:color="auto"/>
        <w:bottom w:val="none" w:sz="0" w:space="0" w:color="auto"/>
        <w:right w:val="none" w:sz="0" w:space="0" w:color="auto"/>
      </w:divBdr>
      <w:divsChild>
        <w:div w:id="1056663004">
          <w:marLeft w:val="-225"/>
          <w:marRight w:val="-225"/>
          <w:marTop w:val="0"/>
          <w:marBottom w:val="0"/>
          <w:divBdr>
            <w:top w:val="none" w:sz="0" w:space="0" w:color="auto"/>
            <w:left w:val="none" w:sz="0" w:space="0" w:color="auto"/>
            <w:bottom w:val="none" w:sz="0" w:space="0" w:color="auto"/>
            <w:right w:val="none" w:sz="0" w:space="0" w:color="auto"/>
          </w:divBdr>
          <w:divsChild>
            <w:div w:id="58675505">
              <w:marLeft w:val="0"/>
              <w:marRight w:val="0"/>
              <w:marTop w:val="0"/>
              <w:marBottom w:val="0"/>
              <w:divBdr>
                <w:top w:val="none" w:sz="0" w:space="0" w:color="auto"/>
                <w:left w:val="none" w:sz="0" w:space="0" w:color="auto"/>
                <w:bottom w:val="none" w:sz="0" w:space="0" w:color="auto"/>
                <w:right w:val="none" w:sz="0" w:space="0" w:color="auto"/>
              </w:divBdr>
            </w:div>
            <w:div w:id="1763332854">
              <w:marLeft w:val="0"/>
              <w:marRight w:val="0"/>
              <w:marTop w:val="0"/>
              <w:marBottom w:val="0"/>
              <w:divBdr>
                <w:top w:val="none" w:sz="0" w:space="0" w:color="auto"/>
                <w:left w:val="none" w:sz="0" w:space="0" w:color="auto"/>
                <w:bottom w:val="none" w:sz="0" w:space="0" w:color="auto"/>
                <w:right w:val="none" w:sz="0" w:space="0" w:color="auto"/>
              </w:divBdr>
            </w:div>
          </w:divsChild>
        </w:div>
        <w:div w:id="947930117">
          <w:marLeft w:val="-225"/>
          <w:marRight w:val="-225"/>
          <w:marTop w:val="0"/>
          <w:marBottom w:val="0"/>
          <w:divBdr>
            <w:top w:val="none" w:sz="0" w:space="0" w:color="auto"/>
            <w:left w:val="none" w:sz="0" w:space="0" w:color="auto"/>
            <w:bottom w:val="none" w:sz="0" w:space="0" w:color="auto"/>
            <w:right w:val="none" w:sz="0" w:space="0" w:color="auto"/>
          </w:divBdr>
        </w:div>
      </w:divsChild>
    </w:div>
    <w:div w:id="258216907">
      <w:bodyDiv w:val="1"/>
      <w:marLeft w:val="0"/>
      <w:marRight w:val="0"/>
      <w:marTop w:val="0"/>
      <w:marBottom w:val="0"/>
      <w:divBdr>
        <w:top w:val="none" w:sz="0" w:space="0" w:color="auto"/>
        <w:left w:val="none" w:sz="0" w:space="0" w:color="auto"/>
        <w:bottom w:val="none" w:sz="0" w:space="0" w:color="auto"/>
        <w:right w:val="none" w:sz="0" w:space="0" w:color="auto"/>
      </w:divBdr>
      <w:divsChild>
        <w:div w:id="1638409159">
          <w:marLeft w:val="-225"/>
          <w:marRight w:val="-225"/>
          <w:marTop w:val="0"/>
          <w:marBottom w:val="0"/>
          <w:divBdr>
            <w:top w:val="none" w:sz="0" w:space="0" w:color="auto"/>
            <w:left w:val="none" w:sz="0" w:space="0" w:color="auto"/>
            <w:bottom w:val="none" w:sz="0" w:space="0" w:color="auto"/>
            <w:right w:val="none" w:sz="0" w:space="0" w:color="auto"/>
          </w:divBdr>
          <w:divsChild>
            <w:div w:id="1887452119">
              <w:marLeft w:val="0"/>
              <w:marRight w:val="0"/>
              <w:marTop w:val="0"/>
              <w:marBottom w:val="0"/>
              <w:divBdr>
                <w:top w:val="none" w:sz="0" w:space="0" w:color="auto"/>
                <w:left w:val="none" w:sz="0" w:space="0" w:color="auto"/>
                <w:bottom w:val="none" w:sz="0" w:space="0" w:color="auto"/>
                <w:right w:val="none" w:sz="0" w:space="0" w:color="auto"/>
              </w:divBdr>
            </w:div>
            <w:div w:id="92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224">
      <w:bodyDiv w:val="1"/>
      <w:marLeft w:val="0"/>
      <w:marRight w:val="0"/>
      <w:marTop w:val="0"/>
      <w:marBottom w:val="0"/>
      <w:divBdr>
        <w:top w:val="none" w:sz="0" w:space="0" w:color="auto"/>
        <w:left w:val="none" w:sz="0" w:space="0" w:color="auto"/>
        <w:bottom w:val="none" w:sz="0" w:space="0" w:color="auto"/>
        <w:right w:val="none" w:sz="0" w:space="0" w:color="auto"/>
      </w:divBdr>
      <w:divsChild>
        <w:div w:id="234173097">
          <w:marLeft w:val="-225"/>
          <w:marRight w:val="-225"/>
          <w:marTop w:val="0"/>
          <w:marBottom w:val="0"/>
          <w:divBdr>
            <w:top w:val="none" w:sz="0" w:space="0" w:color="auto"/>
            <w:left w:val="none" w:sz="0" w:space="0" w:color="auto"/>
            <w:bottom w:val="none" w:sz="0" w:space="0" w:color="auto"/>
            <w:right w:val="none" w:sz="0" w:space="0" w:color="auto"/>
          </w:divBdr>
          <w:divsChild>
            <w:div w:id="529102660">
              <w:marLeft w:val="0"/>
              <w:marRight w:val="0"/>
              <w:marTop w:val="0"/>
              <w:marBottom w:val="0"/>
              <w:divBdr>
                <w:top w:val="none" w:sz="0" w:space="0" w:color="auto"/>
                <w:left w:val="none" w:sz="0" w:space="0" w:color="auto"/>
                <w:bottom w:val="none" w:sz="0" w:space="0" w:color="auto"/>
                <w:right w:val="none" w:sz="0" w:space="0" w:color="auto"/>
              </w:divBdr>
            </w:div>
            <w:div w:id="556822523">
              <w:marLeft w:val="0"/>
              <w:marRight w:val="0"/>
              <w:marTop w:val="0"/>
              <w:marBottom w:val="0"/>
              <w:divBdr>
                <w:top w:val="none" w:sz="0" w:space="0" w:color="auto"/>
                <w:left w:val="none" w:sz="0" w:space="0" w:color="auto"/>
                <w:bottom w:val="none" w:sz="0" w:space="0" w:color="auto"/>
                <w:right w:val="none" w:sz="0" w:space="0" w:color="auto"/>
              </w:divBdr>
            </w:div>
          </w:divsChild>
        </w:div>
        <w:div w:id="1177768910">
          <w:marLeft w:val="-225"/>
          <w:marRight w:val="-225"/>
          <w:marTop w:val="0"/>
          <w:marBottom w:val="0"/>
          <w:divBdr>
            <w:top w:val="none" w:sz="0" w:space="0" w:color="auto"/>
            <w:left w:val="none" w:sz="0" w:space="0" w:color="auto"/>
            <w:bottom w:val="none" w:sz="0" w:space="0" w:color="auto"/>
            <w:right w:val="none" w:sz="0" w:space="0" w:color="auto"/>
          </w:divBdr>
        </w:div>
      </w:divsChild>
    </w:div>
    <w:div w:id="685132542">
      <w:bodyDiv w:val="1"/>
      <w:marLeft w:val="0"/>
      <w:marRight w:val="0"/>
      <w:marTop w:val="0"/>
      <w:marBottom w:val="0"/>
      <w:divBdr>
        <w:top w:val="none" w:sz="0" w:space="0" w:color="auto"/>
        <w:left w:val="none" w:sz="0" w:space="0" w:color="auto"/>
        <w:bottom w:val="none" w:sz="0" w:space="0" w:color="auto"/>
        <w:right w:val="none" w:sz="0" w:space="0" w:color="auto"/>
      </w:divBdr>
      <w:divsChild>
        <w:div w:id="1637249933">
          <w:marLeft w:val="-225"/>
          <w:marRight w:val="-225"/>
          <w:marTop w:val="0"/>
          <w:marBottom w:val="0"/>
          <w:divBdr>
            <w:top w:val="none" w:sz="0" w:space="0" w:color="auto"/>
            <w:left w:val="none" w:sz="0" w:space="0" w:color="auto"/>
            <w:bottom w:val="none" w:sz="0" w:space="0" w:color="auto"/>
            <w:right w:val="none" w:sz="0" w:space="0" w:color="auto"/>
          </w:divBdr>
          <w:divsChild>
            <w:div w:id="1366560453">
              <w:marLeft w:val="0"/>
              <w:marRight w:val="0"/>
              <w:marTop w:val="0"/>
              <w:marBottom w:val="0"/>
              <w:divBdr>
                <w:top w:val="none" w:sz="0" w:space="0" w:color="auto"/>
                <w:left w:val="none" w:sz="0" w:space="0" w:color="auto"/>
                <w:bottom w:val="none" w:sz="0" w:space="0" w:color="auto"/>
                <w:right w:val="none" w:sz="0" w:space="0" w:color="auto"/>
              </w:divBdr>
            </w:div>
            <w:div w:id="965432555">
              <w:marLeft w:val="0"/>
              <w:marRight w:val="0"/>
              <w:marTop w:val="0"/>
              <w:marBottom w:val="0"/>
              <w:divBdr>
                <w:top w:val="none" w:sz="0" w:space="0" w:color="auto"/>
                <w:left w:val="none" w:sz="0" w:space="0" w:color="auto"/>
                <w:bottom w:val="none" w:sz="0" w:space="0" w:color="auto"/>
                <w:right w:val="none" w:sz="0" w:space="0" w:color="auto"/>
              </w:divBdr>
            </w:div>
          </w:divsChild>
        </w:div>
        <w:div w:id="274991879">
          <w:marLeft w:val="-225"/>
          <w:marRight w:val="-225"/>
          <w:marTop w:val="0"/>
          <w:marBottom w:val="0"/>
          <w:divBdr>
            <w:top w:val="none" w:sz="0" w:space="0" w:color="auto"/>
            <w:left w:val="none" w:sz="0" w:space="0" w:color="auto"/>
            <w:bottom w:val="none" w:sz="0" w:space="0" w:color="auto"/>
            <w:right w:val="none" w:sz="0" w:space="0" w:color="auto"/>
          </w:divBdr>
        </w:div>
      </w:divsChild>
    </w:div>
    <w:div w:id="794106326">
      <w:bodyDiv w:val="1"/>
      <w:marLeft w:val="0"/>
      <w:marRight w:val="0"/>
      <w:marTop w:val="0"/>
      <w:marBottom w:val="0"/>
      <w:divBdr>
        <w:top w:val="none" w:sz="0" w:space="0" w:color="auto"/>
        <w:left w:val="none" w:sz="0" w:space="0" w:color="auto"/>
        <w:bottom w:val="none" w:sz="0" w:space="0" w:color="auto"/>
        <w:right w:val="none" w:sz="0" w:space="0" w:color="auto"/>
      </w:divBdr>
      <w:divsChild>
        <w:div w:id="1657152374">
          <w:marLeft w:val="-225"/>
          <w:marRight w:val="-225"/>
          <w:marTop w:val="0"/>
          <w:marBottom w:val="0"/>
          <w:divBdr>
            <w:top w:val="none" w:sz="0" w:space="0" w:color="auto"/>
            <w:left w:val="none" w:sz="0" w:space="0" w:color="auto"/>
            <w:bottom w:val="none" w:sz="0" w:space="0" w:color="auto"/>
            <w:right w:val="none" w:sz="0" w:space="0" w:color="auto"/>
          </w:divBdr>
          <w:divsChild>
            <w:div w:id="1506629275">
              <w:marLeft w:val="0"/>
              <w:marRight w:val="0"/>
              <w:marTop w:val="0"/>
              <w:marBottom w:val="0"/>
              <w:divBdr>
                <w:top w:val="none" w:sz="0" w:space="0" w:color="auto"/>
                <w:left w:val="none" w:sz="0" w:space="0" w:color="auto"/>
                <w:bottom w:val="none" w:sz="0" w:space="0" w:color="auto"/>
                <w:right w:val="none" w:sz="0" w:space="0" w:color="auto"/>
              </w:divBdr>
            </w:div>
            <w:div w:id="200676439">
              <w:marLeft w:val="0"/>
              <w:marRight w:val="0"/>
              <w:marTop w:val="0"/>
              <w:marBottom w:val="0"/>
              <w:divBdr>
                <w:top w:val="none" w:sz="0" w:space="0" w:color="auto"/>
                <w:left w:val="none" w:sz="0" w:space="0" w:color="auto"/>
                <w:bottom w:val="none" w:sz="0" w:space="0" w:color="auto"/>
                <w:right w:val="none" w:sz="0" w:space="0" w:color="auto"/>
              </w:divBdr>
            </w:div>
          </w:divsChild>
        </w:div>
        <w:div w:id="573589820">
          <w:marLeft w:val="-225"/>
          <w:marRight w:val="-225"/>
          <w:marTop w:val="0"/>
          <w:marBottom w:val="0"/>
          <w:divBdr>
            <w:top w:val="none" w:sz="0" w:space="0" w:color="auto"/>
            <w:left w:val="none" w:sz="0" w:space="0" w:color="auto"/>
            <w:bottom w:val="none" w:sz="0" w:space="0" w:color="auto"/>
            <w:right w:val="none" w:sz="0" w:space="0" w:color="auto"/>
          </w:divBdr>
        </w:div>
      </w:divsChild>
    </w:div>
    <w:div w:id="970982388">
      <w:bodyDiv w:val="1"/>
      <w:marLeft w:val="0"/>
      <w:marRight w:val="0"/>
      <w:marTop w:val="0"/>
      <w:marBottom w:val="0"/>
      <w:divBdr>
        <w:top w:val="none" w:sz="0" w:space="0" w:color="auto"/>
        <w:left w:val="none" w:sz="0" w:space="0" w:color="auto"/>
        <w:bottom w:val="none" w:sz="0" w:space="0" w:color="auto"/>
        <w:right w:val="none" w:sz="0" w:space="0" w:color="auto"/>
      </w:divBdr>
      <w:divsChild>
        <w:div w:id="503518474">
          <w:marLeft w:val="-225"/>
          <w:marRight w:val="-225"/>
          <w:marTop w:val="0"/>
          <w:marBottom w:val="0"/>
          <w:divBdr>
            <w:top w:val="none" w:sz="0" w:space="0" w:color="auto"/>
            <w:left w:val="none" w:sz="0" w:space="0" w:color="auto"/>
            <w:bottom w:val="none" w:sz="0" w:space="0" w:color="auto"/>
            <w:right w:val="none" w:sz="0" w:space="0" w:color="auto"/>
          </w:divBdr>
          <w:divsChild>
            <w:div w:id="487206610">
              <w:marLeft w:val="0"/>
              <w:marRight w:val="0"/>
              <w:marTop w:val="0"/>
              <w:marBottom w:val="0"/>
              <w:divBdr>
                <w:top w:val="none" w:sz="0" w:space="0" w:color="auto"/>
                <w:left w:val="none" w:sz="0" w:space="0" w:color="auto"/>
                <w:bottom w:val="none" w:sz="0" w:space="0" w:color="auto"/>
                <w:right w:val="none" w:sz="0" w:space="0" w:color="auto"/>
              </w:divBdr>
            </w:div>
            <w:div w:id="1121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506">
      <w:bodyDiv w:val="1"/>
      <w:marLeft w:val="0"/>
      <w:marRight w:val="0"/>
      <w:marTop w:val="0"/>
      <w:marBottom w:val="0"/>
      <w:divBdr>
        <w:top w:val="none" w:sz="0" w:space="0" w:color="auto"/>
        <w:left w:val="none" w:sz="0" w:space="0" w:color="auto"/>
        <w:bottom w:val="none" w:sz="0" w:space="0" w:color="auto"/>
        <w:right w:val="none" w:sz="0" w:space="0" w:color="auto"/>
      </w:divBdr>
      <w:divsChild>
        <w:div w:id="2128771686">
          <w:marLeft w:val="-225"/>
          <w:marRight w:val="-225"/>
          <w:marTop w:val="0"/>
          <w:marBottom w:val="0"/>
          <w:divBdr>
            <w:top w:val="none" w:sz="0" w:space="0" w:color="auto"/>
            <w:left w:val="none" w:sz="0" w:space="0" w:color="auto"/>
            <w:bottom w:val="none" w:sz="0" w:space="0" w:color="auto"/>
            <w:right w:val="none" w:sz="0" w:space="0" w:color="auto"/>
          </w:divBdr>
          <w:divsChild>
            <w:div w:id="238834476">
              <w:marLeft w:val="0"/>
              <w:marRight w:val="0"/>
              <w:marTop w:val="0"/>
              <w:marBottom w:val="0"/>
              <w:divBdr>
                <w:top w:val="none" w:sz="0" w:space="0" w:color="auto"/>
                <w:left w:val="none" w:sz="0" w:space="0" w:color="auto"/>
                <w:bottom w:val="none" w:sz="0" w:space="0" w:color="auto"/>
                <w:right w:val="none" w:sz="0" w:space="0" w:color="auto"/>
              </w:divBdr>
            </w:div>
            <w:div w:id="1817145669">
              <w:marLeft w:val="0"/>
              <w:marRight w:val="0"/>
              <w:marTop w:val="0"/>
              <w:marBottom w:val="0"/>
              <w:divBdr>
                <w:top w:val="none" w:sz="0" w:space="0" w:color="auto"/>
                <w:left w:val="none" w:sz="0" w:space="0" w:color="auto"/>
                <w:bottom w:val="none" w:sz="0" w:space="0" w:color="auto"/>
                <w:right w:val="none" w:sz="0" w:space="0" w:color="auto"/>
              </w:divBdr>
            </w:div>
          </w:divsChild>
        </w:div>
        <w:div w:id="1395080238">
          <w:marLeft w:val="-225"/>
          <w:marRight w:val="-225"/>
          <w:marTop w:val="0"/>
          <w:marBottom w:val="0"/>
          <w:divBdr>
            <w:top w:val="none" w:sz="0" w:space="0" w:color="auto"/>
            <w:left w:val="none" w:sz="0" w:space="0" w:color="auto"/>
            <w:bottom w:val="none" w:sz="0" w:space="0" w:color="auto"/>
            <w:right w:val="none" w:sz="0" w:space="0" w:color="auto"/>
          </w:divBdr>
        </w:div>
      </w:divsChild>
    </w:div>
    <w:div w:id="1194920456">
      <w:bodyDiv w:val="1"/>
      <w:marLeft w:val="0"/>
      <w:marRight w:val="0"/>
      <w:marTop w:val="0"/>
      <w:marBottom w:val="0"/>
      <w:divBdr>
        <w:top w:val="none" w:sz="0" w:space="0" w:color="auto"/>
        <w:left w:val="none" w:sz="0" w:space="0" w:color="auto"/>
        <w:bottom w:val="none" w:sz="0" w:space="0" w:color="auto"/>
        <w:right w:val="none" w:sz="0" w:space="0" w:color="auto"/>
      </w:divBdr>
      <w:divsChild>
        <w:div w:id="839081897">
          <w:marLeft w:val="-225"/>
          <w:marRight w:val="-225"/>
          <w:marTop w:val="0"/>
          <w:marBottom w:val="0"/>
          <w:divBdr>
            <w:top w:val="none" w:sz="0" w:space="0" w:color="auto"/>
            <w:left w:val="none" w:sz="0" w:space="0" w:color="auto"/>
            <w:bottom w:val="none" w:sz="0" w:space="0" w:color="auto"/>
            <w:right w:val="none" w:sz="0" w:space="0" w:color="auto"/>
          </w:divBdr>
          <w:divsChild>
            <w:div w:id="2053846161">
              <w:marLeft w:val="0"/>
              <w:marRight w:val="0"/>
              <w:marTop w:val="0"/>
              <w:marBottom w:val="0"/>
              <w:divBdr>
                <w:top w:val="none" w:sz="0" w:space="0" w:color="auto"/>
                <w:left w:val="none" w:sz="0" w:space="0" w:color="auto"/>
                <w:bottom w:val="none" w:sz="0" w:space="0" w:color="auto"/>
                <w:right w:val="none" w:sz="0" w:space="0" w:color="auto"/>
              </w:divBdr>
            </w:div>
            <w:div w:id="1096903619">
              <w:marLeft w:val="0"/>
              <w:marRight w:val="0"/>
              <w:marTop w:val="0"/>
              <w:marBottom w:val="0"/>
              <w:divBdr>
                <w:top w:val="none" w:sz="0" w:space="0" w:color="auto"/>
                <w:left w:val="none" w:sz="0" w:space="0" w:color="auto"/>
                <w:bottom w:val="none" w:sz="0" w:space="0" w:color="auto"/>
                <w:right w:val="none" w:sz="0" w:space="0" w:color="auto"/>
              </w:divBdr>
            </w:div>
          </w:divsChild>
        </w:div>
        <w:div w:id="449740377">
          <w:marLeft w:val="-225"/>
          <w:marRight w:val="-225"/>
          <w:marTop w:val="0"/>
          <w:marBottom w:val="0"/>
          <w:divBdr>
            <w:top w:val="none" w:sz="0" w:space="0" w:color="auto"/>
            <w:left w:val="none" w:sz="0" w:space="0" w:color="auto"/>
            <w:bottom w:val="none" w:sz="0" w:space="0" w:color="auto"/>
            <w:right w:val="none" w:sz="0" w:space="0" w:color="auto"/>
          </w:divBdr>
        </w:div>
      </w:divsChild>
    </w:div>
    <w:div w:id="1562981985">
      <w:bodyDiv w:val="1"/>
      <w:marLeft w:val="0"/>
      <w:marRight w:val="0"/>
      <w:marTop w:val="0"/>
      <w:marBottom w:val="0"/>
      <w:divBdr>
        <w:top w:val="none" w:sz="0" w:space="0" w:color="auto"/>
        <w:left w:val="none" w:sz="0" w:space="0" w:color="auto"/>
        <w:bottom w:val="none" w:sz="0" w:space="0" w:color="auto"/>
        <w:right w:val="none" w:sz="0" w:space="0" w:color="auto"/>
      </w:divBdr>
      <w:divsChild>
        <w:div w:id="954099866">
          <w:marLeft w:val="-225"/>
          <w:marRight w:val="-225"/>
          <w:marTop w:val="0"/>
          <w:marBottom w:val="0"/>
          <w:divBdr>
            <w:top w:val="none" w:sz="0" w:space="0" w:color="auto"/>
            <w:left w:val="none" w:sz="0" w:space="0" w:color="auto"/>
            <w:bottom w:val="none" w:sz="0" w:space="0" w:color="auto"/>
            <w:right w:val="none" w:sz="0" w:space="0" w:color="auto"/>
          </w:divBdr>
          <w:divsChild>
            <w:div w:id="1634409042">
              <w:marLeft w:val="0"/>
              <w:marRight w:val="0"/>
              <w:marTop w:val="0"/>
              <w:marBottom w:val="0"/>
              <w:divBdr>
                <w:top w:val="none" w:sz="0" w:space="0" w:color="auto"/>
                <w:left w:val="none" w:sz="0" w:space="0" w:color="auto"/>
                <w:bottom w:val="none" w:sz="0" w:space="0" w:color="auto"/>
                <w:right w:val="none" w:sz="0" w:space="0" w:color="auto"/>
              </w:divBdr>
            </w:div>
            <w:div w:id="1223903402">
              <w:marLeft w:val="0"/>
              <w:marRight w:val="0"/>
              <w:marTop w:val="0"/>
              <w:marBottom w:val="0"/>
              <w:divBdr>
                <w:top w:val="none" w:sz="0" w:space="0" w:color="auto"/>
                <w:left w:val="none" w:sz="0" w:space="0" w:color="auto"/>
                <w:bottom w:val="none" w:sz="0" w:space="0" w:color="auto"/>
                <w:right w:val="none" w:sz="0" w:space="0" w:color="auto"/>
              </w:divBdr>
            </w:div>
          </w:divsChild>
        </w:div>
        <w:div w:id="213780730">
          <w:marLeft w:val="-225"/>
          <w:marRight w:val="-225"/>
          <w:marTop w:val="0"/>
          <w:marBottom w:val="0"/>
          <w:divBdr>
            <w:top w:val="none" w:sz="0" w:space="0" w:color="auto"/>
            <w:left w:val="none" w:sz="0" w:space="0" w:color="auto"/>
            <w:bottom w:val="none" w:sz="0" w:space="0" w:color="auto"/>
            <w:right w:val="none" w:sz="0" w:space="0" w:color="auto"/>
          </w:divBdr>
        </w:div>
      </w:divsChild>
    </w:div>
    <w:div w:id="1563517000">
      <w:bodyDiv w:val="1"/>
      <w:marLeft w:val="0"/>
      <w:marRight w:val="0"/>
      <w:marTop w:val="0"/>
      <w:marBottom w:val="0"/>
      <w:divBdr>
        <w:top w:val="none" w:sz="0" w:space="0" w:color="auto"/>
        <w:left w:val="none" w:sz="0" w:space="0" w:color="auto"/>
        <w:bottom w:val="none" w:sz="0" w:space="0" w:color="auto"/>
        <w:right w:val="none" w:sz="0" w:space="0" w:color="auto"/>
      </w:divBdr>
      <w:divsChild>
        <w:div w:id="958994149">
          <w:marLeft w:val="-225"/>
          <w:marRight w:val="-225"/>
          <w:marTop w:val="0"/>
          <w:marBottom w:val="0"/>
          <w:divBdr>
            <w:top w:val="none" w:sz="0" w:space="0" w:color="auto"/>
            <w:left w:val="none" w:sz="0" w:space="0" w:color="auto"/>
            <w:bottom w:val="none" w:sz="0" w:space="0" w:color="auto"/>
            <w:right w:val="none" w:sz="0" w:space="0" w:color="auto"/>
          </w:divBdr>
          <w:divsChild>
            <w:div w:id="985207156">
              <w:marLeft w:val="0"/>
              <w:marRight w:val="0"/>
              <w:marTop w:val="0"/>
              <w:marBottom w:val="0"/>
              <w:divBdr>
                <w:top w:val="none" w:sz="0" w:space="0" w:color="auto"/>
                <w:left w:val="none" w:sz="0" w:space="0" w:color="auto"/>
                <w:bottom w:val="none" w:sz="0" w:space="0" w:color="auto"/>
                <w:right w:val="none" w:sz="0" w:space="0" w:color="auto"/>
              </w:divBdr>
            </w:div>
            <w:div w:id="4028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663">
      <w:bodyDiv w:val="1"/>
      <w:marLeft w:val="0"/>
      <w:marRight w:val="0"/>
      <w:marTop w:val="0"/>
      <w:marBottom w:val="0"/>
      <w:divBdr>
        <w:top w:val="none" w:sz="0" w:space="0" w:color="auto"/>
        <w:left w:val="none" w:sz="0" w:space="0" w:color="auto"/>
        <w:bottom w:val="none" w:sz="0" w:space="0" w:color="auto"/>
        <w:right w:val="none" w:sz="0" w:space="0" w:color="auto"/>
      </w:divBdr>
      <w:divsChild>
        <w:div w:id="624578238">
          <w:marLeft w:val="-225"/>
          <w:marRight w:val="-225"/>
          <w:marTop w:val="0"/>
          <w:marBottom w:val="0"/>
          <w:divBdr>
            <w:top w:val="none" w:sz="0" w:space="0" w:color="auto"/>
            <w:left w:val="none" w:sz="0" w:space="0" w:color="auto"/>
            <w:bottom w:val="none" w:sz="0" w:space="0" w:color="auto"/>
            <w:right w:val="none" w:sz="0" w:space="0" w:color="auto"/>
          </w:divBdr>
          <w:divsChild>
            <w:div w:id="172955963">
              <w:marLeft w:val="0"/>
              <w:marRight w:val="0"/>
              <w:marTop w:val="0"/>
              <w:marBottom w:val="0"/>
              <w:divBdr>
                <w:top w:val="none" w:sz="0" w:space="0" w:color="auto"/>
                <w:left w:val="none" w:sz="0" w:space="0" w:color="auto"/>
                <w:bottom w:val="none" w:sz="0" w:space="0" w:color="auto"/>
                <w:right w:val="none" w:sz="0" w:space="0" w:color="auto"/>
              </w:divBdr>
            </w:div>
            <w:div w:id="2007785413">
              <w:marLeft w:val="0"/>
              <w:marRight w:val="0"/>
              <w:marTop w:val="0"/>
              <w:marBottom w:val="0"/>
              <w:divBdr>
                <w:top w:val="none" w:sz="0" w:space="0" w:color="auto"/>
                <w:left w:val="none" w:sz="0" w:space="0" w:color="auto"/>
                <w:bottom w:val="none" w:sz="0" w:space="0" w:color="auto"/>
                <w:right w:val="none" w:sz="0" w:space="0" w:color="auto"/>
              </w:divBdr>
            </w:div>
          </w:divsChild>
        </w:div>
        <w:div w:id="2141412695">
          <w:marLeft w:val="-225"/>
          <w:marRight w:val="-225"/>
          <w:marTop w:val="0"/>
          <w:marBottom w:val="0"/>
          <w:divBdr>
            <w:top w:val="none" w:sz="0" w:space="0" w:color="auto"/>
            <w:left w:val="none" w:sz="0" w:space="0" w:color="auto"/>
            <w:bottom w:val="none" w:sz="0" w:space="0" w:color="auto"/>
            <w:right w:val="none" w:sz="0" w:space="0" w:color="auto"/>
          </w:divBdr>
          <w:divsChild>
            <w:div w:id="628557170">
              <w:marLeft w:val="0"/>
              <w:marRight w:val="0"/>
              <w:marTop w:val="0"/>
              <w:marBottom w:val="0"/>
              <w:divBdr>
                <w:top w:val="none" w:sz="0" w:space="0" w:color="auto"/>
                <w:left w:val="none" w:sz="0" w:space="0" w:color="auto"/>
                <w:bottom w:val="none" w:sz="0" w:space="0" w:color="auto"/>
                <w:right w:val="none" w:sz="0" w:space="0" w:color="auto"/>
              </w:divBdr>
              <w:divsChild>
                <w:div w:id="1333796527">
                  <w:marLeft w:val="-225"/>
                  <w:marRight w:val="-225"/>
                  <w:marTop w:val="0"/>
                  <w:marBottom w:val="0"/>
                  <w:divBdr>
                    <w:top w:val="none" w:sz="0" w:space="0" w:color="auto"/>
                    <w:left w:val="none" w:sz="0" w:space="0" w:color="auto"/>
                    <w:bottom w:val="none" w:sz="0" w:space="0" w:color="auto"/>
                    <w:right w:val="none" w:sz="0" w:space="0" w:color="auto"/>
                  </w:divBdr>
                  <w:divsChild>
                    <w:div w:id="1615212526">
                      <w:marLeft w:val="0"/>
                      <w:marRight w:val="0"/>
                      <w:marTop w:val="0"/>
                      <w:marBottom w:val="0"/>
                      <w:divBdr>
                        <w:top w:val="none" w:sz="0" w:space="0" w:color="auto"/>
                        <w:left w:val="none" w:sz="0" w:space="0" w:color="auto"/>
                        <w:bottom w:val="none" w:sz="0" w:space="0" w:color="auto"/>
                        <w:right w:val="none" w:sz="0" w:space="0" w:color="auto"/>
                      </w:divBdr>
                      <w:divsChild>
                        <w:div w:id="897669364">
                          <w:marLeft w:val="-225"/>
                          <w:marRight w:val="-225"/>
                          <w:marTop w:val="0"/>
                          <w:marBottom w:val="0"/>
                          <w:divBdr>
                            <w:top w:val="none" w:sz="0" w:space="0" w:color="auto"/>
                            <w:left w:val="none" w:sz="0" w:space="0" w:color="auto"/>
                            <w:bottom w:val="none" w:sz="0" w:space="0" w:color="auto"/>
                            <w:right w:val="none" w:sz="0" w:space="0" w:color="auto"/>
                          </w:divBdr>
                          <w:divsChild>
                            <w:div w:id="1753819109">
                              <w:marLeft w:val="0"/>
                              <w:marRight w:val="0"/>
                              <w:marTop w:val="0"/>
                              <w:marBottom w:val="0"/>
                              <w:divBdr>
                                <w:top w:val="none" w:sz="0" w:space="0" w:color="auto"/>
                                <w:left w:val="none" w:sz="0" w:space="0" w:color="auto"/>
                                <w:bottom w:val="none" w:sz="0" w:space="0" w:color="auto"/>
                                <w:right w:val="none" w:sz="0" w:space="0" w:color="auto"/>
                              </w:divBdr>
                            </w:div>
                            <w:div w:id="330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59187">
      <w:bodyDiv w:val="1"/>
      <w:marLeft w:val="0"/>
      <w:marRight w:val="0"/>
      <w:marTop w:val="0"/>
      <w:marBottom w:val="0"/>
      <w:divBdr>
        <w:top w:val="none" w:sz="0" w:space="0" w:color="auto"/>
        <w:left w:val="none" w:sz="0" w:space="0" w:color="auto"/>
        <w:bottom w:val="none" w:sz="0" w:space="0" w:color="auto"/>
        <w:right w:val="none" w:sz="0" w:space="0" w:color="auto"/>
      </w:divBdr>
      <w:divsChild>
        <w:div w:id="1495413845">
          <w:marLeft w:val="-225"/>
          <w:marRight w:val="-225"/>
          <w:marTop w:val="0"/>
          <w:marBottom w:val="0"/>
          <w:divBdr>
            <w:top w:val="none" w:sz="0" w:space="0" w:color="auto"/>
            <w:left w:val="none" w:sz="0" w:space="0" w:color="auto"/>
            <w:bottom w:val="none" w:sz="0" w:space="0" w:color="auto"/>
            <w:right w:val="none" w:sz="0" w:space="0" w:color="auto"/>
          </w:divBdr>
          <w:divsChild>
            <w:div w:id="1733234170">
              <w:marLeft w:val="0"/>
              <w:marRight w:val="0"/>
              <w:marTop w:val="0"/>
              <w:marBottom w:val="0"/>
              <w:divBdr>
                <w:top w:val="none" w:sz="0" w:space="0" w:color="auto"/>
                <w:left w:val="none" w:sz="0" w:space="0" w:color="auto"/>
                <w:bottom w:val="none" w:sz="0" w:space="0" w:color="auto"/>
                <w:right w:val="none" w:sz="0" w:space="0" w:color="auto"/>
              </w:divBdr>
            </w:div>
            <w:div w:id="1258556169">
              <w:marLeft w:val="0"/>
              <w:marRight w:val="0"/>
              <w:marTop w:val="0"/>
              <w:marBottom w:val="0"/>
              <w:divBdr>
                <w:top w:val="none" w:sz="0" w:space="0" w:color="auto"/>
                <w:left w:val="none" w:sz="0" w:space="0" w:color="auto"/>
                <w:bottom w:val="none" w:sz="0" w:space="0" w:color="auto"/>
                <w:right w:val="none" w:sz="0" w:space="0" w:color="auto"/>
              </w:divBdr>
            </w:div>
          </w:divsChild>
        </w:div>
        <w:div w:id="995570184">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Directive lays out the rules on the restriction of use of hazardous substances in electrical and electronic equipment (EEE) with a view to contributing to the protection of human health and the environment, including the environmentally sound recovery and disposal of waste EEE.</Abstract>
  <CompanyAddress/>
  <CompanyPhone/>
  <CompanyFax/>
  <CompanyEmail>kushagra.gupta@rumzer.com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RoHS Guidelines</dc:title>
  <dc:subject>Brief Overview</dc:subject>
  <dc:creator>Kushagra Gupta</dc:creator>
  <cp:keywords/>
  <dc:description/>
  <cp:lastModifiedBy>Kushagra Gupta</cp:lastModifiedBy>
  <cp:revision>1</cp:revision>
  <cp:lastPrinted>2020-05-19T05:36:00Z</cp:lastPrinted>
  <dcterms:created xsi:type="dcterms:W3CDTF">2020-05-19T05:21:00Z</dcterms:created>
  <dcterms:modified xsi:type="dcterms:W3CDTF">2020-05-19T05:37:00Z</dcterms:modified>
</cp:coreProperties>
</file>