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70100" cx="594360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0701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84cz96ubdzup" w:colLast="0"/>
      <w:bookmarkEnd w:id="0"/>
      <w:r w:rsidRPr="00000000" w:rsidR="00000000" w:rsidDel="00000000">
        <w:rPr>
          <w:rtl w:val="0"/>
        </w:rPr>
        <w:t xml:space="preserve">Piano di Qualifica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ljbtmydzm9sy" w:colLast="0"/>
      <w:bookmarkEnd w:id="1"/>
      <w:r w:rsidRPr="00000000" w:rsidR="00000000" w:rsidDel="00000000">
        <w:rPr>
          <w:rtl w:val="0"/>
        </w:rPr>
        <w:t xml:space="preserve">1. </w:t>
      </w:r>
      <w:r w:rsidRPr="00000000" w:rsidR="00000000" w:rsidDel="00000000">
        <w:rPr>
          <w:rtl w:val="0"/>
        </w:rPr>
        <w:t xml:space="preserve">Introduzione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o2jgbctlycy2" w:colLast="0"/>
      <w:bookmarkEnd w:id="2"/>
      <w:r w:rsidRPr="00000000" w:rsidR="00000000" w:rsidDel="00000000">
        <w:rPr>
          <w:rtl w:val="0"/>
        </w:rPr>
        <w:t xml:space="preserve">1.1 Scopo del documento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Il piano di qualifica ha l’obiettivo di definire le strategie adottate dal gruppo Aperture Software per garantire la qualita’ del prodotto che verra’ sviluppato.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Il presente documento descrivera’ la qualita’ desiderate che il software dovra’ avere e i modi per raggiungerle. Verra’ inoltre definito cosa significa software “di alta qualita’”, in riferimento a questo specifico dominio, cosi’ da avere un ideale di riferimento per gli obiettivi del team.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of15hsrkiwad" w:colLast="0"/>
      <w:bookmarkEnd w:id="3"/>
      <w:r w:rsidRPr="00000000" w:rsidR="00000000" w:rsidDel="00000000">
        <w:rPr>
          <w:rtl w:val="0"/>
        </w:rPr>
        <w:t xml:space="preserve">1.2 Scopo del prodotto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  <w:t xml:space="preserve">Lo scopo del progetto è produrre un framework</w:t>
      </w:r>
      <w:r w:rsidRPr="00000000" w:rsidR="00000000" w:rsidDel="00000000">
        <w:rPr>
          <w:vertAlign w:val="subscript"/>
          <w:rtl w:val="0"/>
        </w:rPr>
        <w:t xml:space="preserve">G</w:t>
      </w:r>
      <w:r w:rsidRPr="00000000" w:rsidR="00000000" w:rsidDel="00000000">
        <w:rPr>
          <w:rtl w:val="0"/>
        </w:rPr>
        <w:t xml:space="preserve"> per generare interfacce web</w:t>
      </w:r>
      <w:r w:rsidRPr="00000000" w:rsidR="00000000" w:rsidDel="00000000">
        <w:rPr>
          <w:vertAlign w:val="subscript"/>
          <w:rtl w:val="0"/>
        </w:rPr>
        <w:t xml:space="preserve">G</w:t>
      </w:r>
      <w:r w:rsidRPr="00000000" w:rsidR="00000000" w:rsidDel="00000000">
        <w:rPr>
          <w:rtl w:val="0"/>
        </w:rPr>
        <w:t xml:space="preserve"> di amministrazione dei dati di business basati sullo stack Node.js e MongoDB.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L’obiettivo e’ quello di semplificare il lavoro allo sviluppatore che dovra’ rispondere in modo rapido e standard alla richieste degli esperti di business.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x6hzm0gbfsof" w:colLast="0"/>
      <w:bookmarkEnd w:id="4"/>
      <w:r w:rsidRPr="00000000" w:rsidR="00000000" w:rsidDel="00000000">
        <w:rPr>
          <w:rtl w:val="0"/>
        </w:rPr>
        <w:t xml:space="preserve">1.3 Glossario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 fine di evitare ogni ambiguita’ nella comprensione del linguaggio utilizzato nel presente documento e, in generale, nella documentazione fornita dal gruppo Aperture Software, ogni termine tecnico, di difficile comprensione o di necessario approfondimento verra’ definito nel documento Glossario vX.Y.Z.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pi0055wax388" w:colLast="0"/>
      <w:bookmarkEnd w:id="5"/>
      <w:r w:rsidRPr="00000000" w:rsidR="00000000" w:rsidDel="00000000">
        <w:rPr>
          <w:rtl w:val="0"/>
        </w:rPr>
        <w:t xml:space="preserve">1.4 Riferimenti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le5gmk9dvte1" w:colLast="0"/>
      <w:bookmarkEnd w:id="6"/>
      <w:r w:rsidRPr="00000000" w:rsidR="00000000" w:rsidDel="00000000">
        <w:rPr>
          <w:rtl w:val="0"/>
        </w:rPr>
        <w:t xml:space="preserve">1.4.1 Normativi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Documento esterno di Norme di Progetto v.X.Y.Z.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2mh7gef8cbzc" w:colLast="0"/>
      <w:bookmarkEnd w:id="7"/>
      <w:r w:rsidRPr="00000000" w:rsidR="00000000" w:rsidDel="00000000">
        <w:rPr>
          <w:rtl w:val="0"/>
        </w:rPr>
        <w:t xml:space="preserve">1.4.2 Bibliografici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Slides del corso di Ingegneria del software Modulo A, AA 2013/2014 del prof. Tullio Vardanega: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Wikipedia: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http://it.wikipedia.org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Ian Sommerville, Software Engineering, 9 edizione.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tq654hfpr2e2" w:colLast="0"/>
      <w:bookmarkEnd w:id="8"/>
      <w:r w:rsidRPr="00000000" w:rsidR="00000000" w:rsidDel="00000000">
        <w:rPr>
          <w:rtl w:val="0"/>
        </w:rPr>
        <w:t xml:space="preserve">2. Qualita’ di prodotto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mlcjanjhcry7" w:colLast="0"/>
      <w:bookmarkEnd w:id="9"/>
      <w:r w:rsidRPr="00000000" w:rsidR="00000000" w:rsidDel="00000000">
        <w:rPr>
          <w:rtl w:val="0"/>
        </w:rPr>
        <w:t xml:space="preserve">2.1 Comprensione e analisi di dominio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p2bf9houv6rm" w:colLast="0"/>
      <w:bookmarkEnd w:id="10"/>
      <w:r w:rsidRPr="00000000" w:rsidR="00000000" w:rsidDel="00000000">
        <w:rPr>
          <w:rtl w:val="0"/>
        </w:rPr>
        <w:t xml:space="preserve">2.1 Verifica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99f6h43v7a7n" w:colLast="0"/>
      <w:bookmarkEnd w:id="11"/>
      <w:r w:rsidRPr="00000000" w:rsidR="00000000" w:rsidDel="00000000">
        <w:rPr>
          <w:rtl w:val="0"/>
        </w:rPr>
        <w:t xml:space="preserve">2.2 Validazione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u50h0oalsy2l" w:colLast="0"/>
      <w:bookmarkEnd w:id="12"/>
      <w:r w:rsidRPr="00000000" w:rsidR="00000000" w:rsidDel="00000000">
        <w:rPr>
          <w:rtl w:val="0"/>
        </w:rPr>
        <w:t xml:space="preserve">2.3 Quality Assurance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Quality assurance (QA), tradotta in “assicurazione di qualita’”, e’ la definizione di standard e processi che dovrebbero condurre a prodotti di alta qualita’ e all’introduzione di processi di qualita’ nei processi di stesura.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L’intenzione di un team di lavoro consiste nell’ottenere quella che si dice </w:t>
      </w:r>
      <w:r w:rsidRPr="00000000" w:rsidR="00000000" w:rsidDel="00000000">
        <w:rPr>
          <w:i w:val="1"/>
          <w:rtl w:val="0"/>
        </w:rPr>
        <w:t xml:space="preserve">correction by costruction</w:t>
      </w:r>
      <w:r w:rsidRPr="00000000" w:rsidR="00000000" w:rsidDel="00000000">
        <w:rPr>
          <w:rtl w:val="0"/>
        </w:rPr>
        <w:t xml:space="preserve">, ovvero “correttezza per costruzione”. 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ih9su28n1han" w:colLast="0"/>
      <w:bookmarkEnd w:id="13"/>
      <w:r w:rsidRPr="00000000" w:rsidR="00000000" w:rsidDel="00000000">
        <w:rPr>
          <w:rtl w:val="0"/>
        </w:rPr>
        <w:t xml:space="preserve">3. Qualita’ di processo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4" w:colFirst="0" w:name="h.a3nbn2r2r9fx" w:colLast="0"/>
      <w:bookmarkEnd w:id="14"/>
      <w:r w:rsidRPr="00000000" w:rsidR="00000000" w:rsidDel="00000000">
        <w:rPr>
          <w:rtl w:val="0"/>
        </w:rPr>
        <w:t xml:space="preserve">4. Analisi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xepuppnpoue2" w:colLast="0"/>
      <w:bookmarkEnd w:id="15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4.1 Analisi statica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7hvenrzd2s9l" w:colLast="0"/>
      <w:bookmarkEnd w:id="16"/>
      <w:r w:rsidRPr="00000000" w:rsidR="00000000" w:rsidDel="00000000">
        <w:rPr>
          <w:sz w:val="24"/>
          <w:rtl w:val="0"/>
        </w:rPr>
        <w:t xml:space="preserve">4.2 Analisi dinamica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7" w:colFirst="0" w:name="h.qeyvr14rd00i" w:colLast="0"/>
      <w:bookmarkEnd w:id="17"/>
      <w:r w:rsidRPr="00000000" w:rsidR="00000000" w:rsidDel="00000000">
        <w:rPr>
          <w:rtl w:val="0"/>
        </w:rPr>
        <w:t xml:space="preserve">5.</w:t>
      </w:r>
      <w:r w:rsidRPr="00000000" w:rsidR="00000000" w:rsidDel="00000000">
        <w:rPr>
          <w:rtl w:val="0"/>
        </w:rPr>
        <w:t xml:space="preserve"> Metrica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8" w:colFirst="0" w:name="h.djxtk511v8te" w:colLast="0"/>
      <w:bookmarkEnd w:id="18"/>
      <w:r w:rsidRPr="00000000" w:rsidR="00000000" w:rsidDel="00000000">
        <w:rPr>
          <w:rtl w:val="0"/>
        </w:rPr>
        <w:t xml:space="preserve">5.1 </w:t>
      </w:r>
      <w:r w:rsidRPr="00000000" w:rsidR="00000000" w:rsidDel="00000000">
        <w:rPr>
          <w:rtl w:val="0"/>
        </w:rPr>
        <w:t xml:space="preserve">Metrica documenti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9" w:colFirst="0" w:name="h.boqn30jfhn2v" w:colLast="0"/>
      <w:bookmarkEnd w:id="19"/>
      <w:r w:rsidRPr="00000000" w:rsidR="00000000" w:rsidDel="00000000">
        <w:rPr>
          <w:rtl w:val="0"/>
        </w:rPr>
        <w:t xml:space="preserve">5.1.1 Indice Gulpease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0" w:colFirst="0" w:name="h.6pwq7aaq7jev" w:colLast="0"/>
      <w:bookmarkEnd w:id="20"/>
      <w:r w:rsidRPr="00000000" w:rsidR="00000000" w:rsidDel="00000000">
        <w:rPr>
          <w:rtl w:val="0"/>
        </w:rPr>
        <w:t xml:space="preserve">5.2 Metrica software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1" w:colFirst="0" w:name="h.4on4ay6nsryy" w:colLast="0"/>
      <w:bookmarkEnd w:id="21"/>
      <w:r w:rsidRPr="00000000" w:rsidR="00000000" w:rsidDel="00000000">
        <w:rPr>
          <w:rtl w:val="0"/>
        </w:rPr>
        <w:t xml:space="preserve">5.3 Metrica processo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2" w:colFirst="0" w:name="h.vvnb7r6c8tj1" w:colLast="0"/>
      <w:bookmarkEnd w:id="22"/>
      <w:r w:rsidRPr="00000000" w:rsidR="00000000" w:rsidDel="00000000">
        <w:rPr>
          <w:rtl w:val="0"/>
        </w:rPr>
        <w:t xml:space="preserve">Test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3" w:colFirst="0" w:name="h.3pyjx9rgv606" w:colLast="0"/>
      <w:bookmarkEnd w:id="23"/>
      <w:r w:rsidRPr="00000000" w:rsidR="00000000" w:rsidDel="00000000">
        <w:rPr>
          <w:rtl w:val="0"/>
        </w:rPr>
        <w:t xml:space="preserve">6….. Test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4" w:colFirst="0" w:name="h.oq2mqh5whch5" w:colLast="0"/>
      <w:bookmarkEnd w:id="24"/>
      <w:r w:rsidRPr="00000000" w:rsidR="00000000" w:rsidDel="00000000">
        <w:rPr>
          <w:rtl w:val="0"/>
        </w:rPr>
        <w:t xml:space="preserve">6…..1 Test di unita’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//STUB E DRIVER///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jc w:val="center"/>
      </w:pPr>
      <w:bookmarkStart w:id="25" w:colFirst="0" w:name="h.snlao9ed5py6" w:colLast="0"/>
      <w:bookmarkEnd w:id="25"/>
      <w:r w:rsidRPr="00000000" w:rsidR="00000000" w:rsidDel="00000000">
        <w:rPr>
          <w:b w:val="1"/>
          <w:rtl w:val="0"/>
        </w:rPr>
        <w:t xml:space="preserve">Appendice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6" w:colFirst="0" w:name="h.fl59rzgrhocv" w:colLast="0"/>
      <w:bookmarkEnd w:id="26"/>
      <w:r w:rsidRPr="00000000" w:rsidR="00000000" w:rsidDel="00000000">
        <w:rPr>
          <w:rtl w:val="0"/>
        </w:rPr>
        <w:t xml:space="preserve">A - Standard di Qualita’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7" w:colFirst="0" w:name="h.nuvxwfr6t6qb" w:colLast="0"/>
      <w:bookmarkEnd w:id="27"/>
      <w:r w:rsidRPr="00000000" w:rsidR="00000000" w:rsidDel="00000000">
        <w:rPr>
          <w:rtl w:val="0"/>
        </w:rPr>
        <w:t xml:space="preserve">A.1 ISO/IEC 15504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8" w:colFirst="0" w:name="h.4ew6j5m2o2o2" w:colLast="0"/>
      <w:bookmarkEnd w:id="28"/>
      <w:r w:rsidRPr="00000000" w:rsidR="00000000" w:rsidDel="00000000">
        <w:rPr>
          <w:rtl w:val="0"/>
        </w:rPr>
        <w:t xml:space="preserve">A.2 Ciclo di Deming (ciclo PDCA)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9" w:colFirst="0" w:name="h.5yrm8mhuxmiw" w:colLast="0"/>
      <w:bookmarkEnd w:id="29"/>
      <w:r w:rsidRPr="00000000" w:rsidR="00000000" w:rsidDel="00000000">
        <w:rPr>
          <w:rtl w:val="0"/>
        </w:rPr>
        <w:t xml:space="preserve">B - Descrizione 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0" w:colFirst="0" w:name="h.pa36ytminnm0" w:colLast="0"/>
      <w:bookmarkEnd w:id="30"/>
      <w:r w:rsidRPr="00000000" w:rsidR="00000000" w:rsidDel="00000000">
        <w:rPr>
          <w:rtl w:val="0"/>
        </w:rPr>
        <w:t xml:space="preserve">B.1 Indice Gulpease</w:t>
      </w:r>
    </w:p>
    <w:p w:rsidP="00000000" w:rsidRPr="00000000" w:rsidR="00000000" w:rsidDel="00000000" w:rsidRDefault="00000000">
      <w:pPr>
        <w:spacing w:lineRule="auto" w:after="120" w:line="314" w:before="8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L'</w:t>
      </w:r>
      <w:r w:rsidRPr="00000000" w:rsidR="00000000" w:rsidDel="00000000">
        <w:rPr>
          <w:b w:val="1"/>
          <w:sz w:val="20"/>
          <w:highlight w:val="white"/>
          <w:rtl w:val="0"/>
        </w:rPr>
        <w:t xml:space="preserve">Indice Gulpease</w:t>
      </w:r>
      <w:r w:rsidRPr="00000000" w:rsidR="00000000" w:rsidDel="00000000">
        <w:rPr>
          <w:sz w:val="20"/>
          <w:highlight w:val="white"/>
          <w:rtl w:val="0"/>
        </w:rPr>
        <w:t xml:space="preserve"> è un indice di </w:t>
      </w:r>
      <w:r w:rsidRPr="00000000" w:rsidR="00000000" w:rsidDel="00000000">
        <w:rPr>
          <w:sz w:val="20"/>
          <w:highlight w:val="white"/>
          <w:rtl w:val="0"/>
        </w:rPr>
        <w:t xml:space="preserve">leggibilità</w:t>
      </w:r>
      <w:r w:rsidRPr="00000000" w:rsidR="00000000" w:rsidDel="00000000">
        <w:rPr>
          <w:sz w:val="20"/>
          <w:highlight w:val="white"/>
          <w:rtl w:val="0"/>
        </w:rPr>
        <w:t xml:space="preserve"> di un testo tarato sulla </w:t>
      </w:r>
      <w:r w:rsidRPr="00000000" w:rsidR="00000000" w:rsidDel="00000000">
        <w:rPr>
          <w:sz w:val="20"/>
          <w:highlight w:val="white"/>
          <w:rtl w:val="0"/>
        </w:rPr>
        <w:t xml:space="preserve">lingua italiana</w:t>
      </w:r>
      <w:r w:rsidRPr="00000000" w:rsidR="00000000" w:rsidDel="00000000">
        <w:rPr>
          <w:sz w:val="20"/>
          <w:highlight w:val="white"/>
          <w:rtl w:val="0"/>
        </w:rPr>
        <w:t xml:space="preserve">. Rispetto ad altri ha il vantaggio di utilizzare la lunghezza delle parole in lettere anziché in sillabe, semplificandone il calcolo automatico.</w:t>
      </w:r>
    </w:p>
    <w:p w:rsidP="00000000" w:rsidRPr="00000000" w:rsidR="00000000" w:rsidDel="00000000" w:rsidRDefault="00000000">
      <w:pPr>
        <w:spacing w:lineRule="auto" w:after="120" w:line="314" w:before="8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Definito nel </w:t>
      </w:r>
      <w:r w:rsidRPr="00000000" w:rsidR="00000000" w:rsidDel="00000000">
        <w:rPr>
          <w:sz w:val="20"/>
          <w:highlight w:val="white"/>
          <w:rtl w:val="0"/>
        </w:rPr>
        <w:t xml:space="preserve">1988</w:t>
      </w:r>
      <w:r w:rsidRPr="00000000" w:rsidR="00000000" w:rsidDel="00000000">
        <w:rPr>
          <w:sz w:val="20"/>
          <w:highlight w:val="white"/>
          <w:rtl w:val="0"/>
        </w:rPr>
        <w:t xml:space="preserve"> nell'ambito delle ricerche del GULP (</w:t>
      </w:r>
      <w:r w:rsidRPr="00000000" w:rsidR="00000000" w:rsidDel="00000000">
        <w:rPr>
          <w:sz w:val="20"/>
          <w:highlight w:val="white"/>
          <w:rtl w:val="0"/>
        </w:rPr>
        <w:t xml:space="preserve">Gruppo Universitario Linguistico Pedagogico</w:t>
      </w:r>
      <w:r w:rsidRPr="00000000" w:rsidR="00000000" w:rsidDel="00000000">
        <w:rPr>
          <w:sz w:val="20"/>
          <w:highlight w:val="white"/>
          <w:rtl w:val="0"/>
        </w:rPr>
        <w:t xml:space="preserve">) presso il Seminario di Scienze dell'Educazione dell'</w:t>
      </w:r>
      <w:r w:rsidRPr="00000000" w:rsidR="00000000" w:rsidDel="00000000">
        <w:rPr>
          <w:sz w:val="20"/>
          <w:highlight w:val="white"/>
          <w:rtl w:val="0"/>
        </w:rPr>
        <w:t xml:space="preserve">Università degli studi di Roma "La Sapienza"</w:t>
      </w:r>
      <w:r w:rsidRPr="00000000" w:rsidR="00000000" w:rsidDel="00000000">
        <w:rPr>
          <w:sz w:val="20"/>
          <w:highlight w:val="white"/>
          <w:rtl w:val="0"/>
        </w:rPr>
        <w:t xml:space="preserve">, si basa su rilevazioni raccolte tra il </w:t>
      </w:r>
      <w:r w:rsidRPr="00000000" w:rsidR="00000000" w:rsidDel="00000000">
        <w:rPr>
          <w:sz w:val="20"/>
          <w:highlight w:val="white"/>
          <w:rtl w:val="0"/>
        </w:rPr>
        <w:t xml:space="preserve">1986</w:t>
      </w:r>
      <w:r w:rsidRPr="00000000" w:rsidR="00000000" w:rsidDel="00000000">
        <w:rPr>
          <w:sz w:val="20"/>
          <w:highlight w:val="white"/>
          <w:rtl w:val="0"/>
        </w:rPr>
        <w:t xml:space="preserve"> e il </w:t>
      </w:r>
      <w:r w:rsidRPr="00000000" w:rsidR="00000000" w:rsidDel="00000000">
        <w:rPr>
          <w:sz w:val="20"/>
          <w:highlight w:val="white"/>
          <w:rtl w:val="0"/>
        </w:rPr>
        <w:t xml:space="preserve">1987</w:t>
      </w:r>
      <w:r w:rsidRPr="00000000" w:rsidR="00000000" w:rsidDel="00000000">
        <w:rPr>
          <w:sz w:val="20"/>
          <w:highlight w:val="white"/>
          <w:rtl w:val="0"/>
        </w:rPr>
        <w:t xml:space="preserve"> dalle cattedre di </w:t>
      </w:r>
      <w:r w:rsidRPr="00000000" w:rsidR="00000000" w:rsidDel="00000000">
        <w:rPr>
          <w:sz w:val="20"/>
          <w:highlight w:val="white"/>
          <w:rtl w:val="0"/>
        </w:rPr>
        <w:t xml:space="preserve">Filosofia del linguaggio</w:t>
      </w:r>
      <w:r w:rsidRPr="00000000" w:rsidR="00000000" w:rsidDel="00000000">
        <w:rPr>
          <w:sz w:val="20"/>
          <w:highlight w:val="white"/>
          <w:rtl w:val="0"/>
        </w:rPr>
        <w:t xml:space="preserve"> e di </w:t>
      </w:r>
      <w:hyperlink r:id="rId7">
        <w:r w:rsidRPr="00000000" w:rsidR="00000000" w:rsidDel="00000000">
          <w:rPr>
            <w:color w:val="0b0080"/>
            <w:sz w:val="20"/>
            <w:highlight w:val="white"/>
            <w:rtl w:val="0"/>
          </w:rPr>
          <w:t xml:space="preserve">Ped</w:t>
        </w:r>
      </w:hyperlink>
      <w:r w:rsidRPr="00000000" w:rsidR="00000000" w:rsidDel="00000000">
        <w:rPr>
          <w:sz w:val="20"/>
          <w:rtl w:val="0"/>
        </w:rPr>
        <w:t xml:space="preserve">a</w:t>
      </w:r>
      <w:hyperlink r:id="rId8">
        <w:r w:rsidRPr="00000000" w:rsidR="00000000" w:rsidDel="00000000">
          <w:rPr>
            <w:color w:val="0b0080"/>
            <w:sz w:val="20"/>
            <w:highlight w:val="white"/>
            <w:rtl w:val="0"/>
          </w:rPr>
          <w:t xml:space="preserve">gogia</w:t>
        </w:r>
      </w:hyperlink>
      <w:r w:rsidRPr="00000000" w:rsidR="00000000" w:rsidDel="00000000">
        <w:rPr>
          <w:sz w:val="20"/>
          <w:highlight w:val="white"/>
          <w:rtl w:val="0"/>
        </w:rPr>
        <w:t xml:space="preserve"> dell'Istituto di </w:t>
      </w:r>
      <w:r w:rsidRPr="00000000" w:rsidR="00000000" w:rsidDel="00000000">
        <w:rPr>
          <w:sz w:val="20"/>
          <w:highlight w:val="white"/>
          <w:rtl w:val="0"/>
        </w:rPr>
        <w:t xml:space="preserve">Filosofia</w:t>
      </w:r>
      <w:r w:rsidRPr="00000000" w:rsidR="00000000" w:rsidDel="00000000">
        <w:rPr>
          <w:sz w:val="20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120" w:line="314" w:before="80"/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L'indice di Gulpease considera due variabili linguistiche: la lunghezza della parola e la lunghezza della frase rispetto al numero delle lettere.</w:t>
      </w:r>
    </w:p>
    <w:p w:rsidP="00000000" w:rsidRPr="00000000" w:rsidR="00000000" w:rsidDel="00000000" w:rsidRDefault="00000000">
      <w:pPr>
        <w:spacing w:lineRule="auto" w:after="120" w:line="314" w:before="80"/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La formula per il suo calcolo è la seguente:</w:t>
      </w:r>
    </w:p>
    <w:p w:rsidP="00000000" w:rsidRPr="00000000" w:rsidR="00000000" w:rsidDel="00000000" w:rsidRDefault="00000000">
      <w:pPr>
        <w:spacing w:lineRule="auto" w:after="120" w:line="314" w:before="80"/>
        <w:contextualSpacing w:val="0"/>
        <w:rPr/>
      </w:pPr>
      <w:r w:rsidRPr="00000000" w:rsidR="00000000" w:rsidDel="00000000">
        <w:drawing>
          <wp:inline distR="114300" distT="114300" distB="114300" distL="114300">
            <wp:extent cy="457200" cx="509587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457200" cx="50958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314" w:before="8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I risultati sono compresi tra 0 e 100, dove il valore "100" indica la leggibilità più alta e "0" la leggibilità più bassa. In generale risulta che testi con un indice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14" w:before="60"/>
        <w:ind w:left="1080" w:hanging="359"/>
        <w:contextualSpacing w:val="1"/>
        <w:rPr/>
      </w:pPr>
      <w:r w:rsidRPr="00000000" w:rsidR="00000000" w:rsidDel="00000000">
        <w:rPr>
          <w:sz w:val="20"/>
          <w:highlight w:val="white"/>
          <w:rtl w:val="0"/>
        </w:rPr>
        <w:t xml:space="preserve">inferiore a 80 sono difficili da leggere per chi ha la licenza elementare;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14" w:before="60"/>
        <w:ind w:left="1080" w:hanging="359"/>
        <w:contextualSpacing w:val="1"/>
        <w:rPr/>
      </w:pPr>
      <w:r w:rsidRPr="00000000" w:rsidR="00000000" w:rsidDel="00000000">
        <w:rPr>
          <w:sz w:val="20"/>
          <w:highlight w:val="white"/>
          <w:rtl w:val="0"/>
        </w:rPr>
        <w:t xml:space="preserve">inferiore a 60 sono difficili da leggere per chi ha la licenza media;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14" w:before="60"/>
        <w:ind w:left="1080" w:hanging="359"/>
        <w:contextualSpacing w:val="1"/>
        <w:rPr/>
      </w:pPr>
      <w:r w:rsidRPr="00000000" w:rsidR="00000000" w:rsidDel="00000000">
        <w:rPr>
          <w:sz w:val="20"/>
          <w:highlight w:val="white"/>
          <w:rtl w:val="0"/>
        </w:rPr>
        <w:t xml:space="preserve">inferiore a 40 sono difficili da leggere per chi ha un diploma superiore.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9"/><Relationship Target="http://it.wikipedia.org/" Type="http://schemas.openxmlformats.org/officeDocument/2006/relationships/hyperlink" TargetMode="External" Id="rId6"/><Relationship Target="media/image01.png" Type="http://schemas.openxmlformats.org/officeDocument/2006/relationships/image" Id="rId5"/><Relationship Target="http://it.wikipedia.org/wiki/Pedagogia" Type="http://schemas.openxmlformats.org/officeDocument/2006/relationships/hyperlink" TargetMode="External" Id="rId8"/><Relationship Target="http://it.wikipedia.org/wiki/Pedagogia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di Qualifica.docx</dc:title>
</cp:coreProperties>
</file>