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yntzmxdsk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Medium Lesson Format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k1s9e3bkf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 Title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the name of the topic clearly and simply.</w:t>
        <w:br w:type="textWrapping"/>
        <w:t xml:space="preserve"> (e.g., “VLOOKUP in Excel” / “For Loops in Python”)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s86tkklth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Learning Objectives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what the learner will be able to understand or do by the end of the lesson.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 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 2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da04q56p1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Concept Overview (Simple Explanation)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Short, clear explanation.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Why this topic is important.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Analogies / Examples: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yj4j78s85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Detailed Explanation / Theory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Step-by-step breakdown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rules or components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mistakes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qltk2ixaw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Practical Examples / Real-World Scenarios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1: Scenario + demonstration + explanation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Scenario + demonstration + explanation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pdw5gamle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Methods or Applications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 1 — Description + short example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 2 — Description + short example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wafvs602x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Practice Problems (Exercises of Varying Difficulty)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1 – Basic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2 – Intermediate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3 – Advanced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(Include task statement; answers given in next section)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ln8csfhf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Answer Key / Summary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answers and short explanations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rkb0i06oo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Estimated Learning Time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(e.g., Approx. 15–20 minutes)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