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cqvis6fqh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Short Lesson Format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pcvy4rnq0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Lesson Title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(Clear and simple)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638efozjw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Learning Objectives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 1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rmfyjvq9f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Quick Concept Overview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Short definition + purpose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1–2 simple examples / analogies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hrdc6cfxt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Practical Example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Scenario + demonstration + why it works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wbo4swswv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Quick Application / Method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Method 1 — Description + mini example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Method 2 — Description + mini example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twymnkc0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Practice Problem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Simple task or question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(Answer provided below)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uw8b9lep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Summary / Key Takeaways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2–3 main points to remember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Optional mnemonic / analogy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90eavhfvu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Estimated Learning Time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(Approx. 10 minutes)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