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NONPROFIT LEARNING HUB</w:t>
      </w:r>
    </w:p>
    <w:p>
      <w:pPr>
        <w:pStyle w:val="Title"/>
        <w:spacing w:after="80"/>
      </w:pPr>
      <w:r>
        <w:t>Nonprofit Board Governance Checklist</w:t>
      </w:r>
    </w:p>
    <w:p>
      <w:r>
        <w:rPr>
          <w:i/>
          <w:color w:val="5F6B6E"/>
          <w:sz w:val="22"/>
        </w:rPr>
        <w:t>Review this checklist with your board each year.</w:t>
      </w:r>
    </w:p>
    <w:p>
      <w:pPr>
        <w:pStyle w:val="Heading1"/>
      </w:pPr>
      <w:r>
        <w:t>Legal and regulatory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File the annual report with the Arizona Corporation Commission by the due date.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File IRS Form 990, 990-EZ, or 990-N within five months and fifteen days after the fiscal year ends.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Confirm that board members, officers, and the statutory agent are current in state records.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Review insurance coverage, including directors and officers liability.</w:t>
      </w:r>
    </w:p>
    <w:p>
      <w:pPr>
        <w:pStyle w:val="Heading1"/>
      </w:pPr>
      <w:r>
        <w:t>Policies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Conflict of interest policy signed annually by each board member.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Whistleblower policy.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Document retention and destruction policy.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Gift acceptance policy.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Executive compensation reviewed and approved by the board.</w:t>
      </w:r>
    </w:p>
    <w:p>
      <w:pPr>
        <w:pStyle w:val="Heading1"/>
      </w:pPr>
      <w:r>
        <w:t>Financial oversight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Board approves the annual budget before the fiscal year begins.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Board reviews financial statements at least quarterly.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Audit, review, or compilation completed as required by funders.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Operating reserve policy adopted.</w:t>
      </w:r>
    </w:p>
    <w:p>
      <w:pPr>
        <w:pStyle w:val="Heading1"/>
      </w:pPr>
      <w:r>
        <w:t>Board development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Each board member makes a personal contribution.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New members receive an orientation.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Board completes a self-assessment.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Term limits and officer elections followed as stated in the bylaws.</w:t>
      </w:r>
    </w:p>
    <w:p>
      <w:pPr>
        <w:pStyle w:val="Heading1"/>
      </w:pPr>
      <w:r>
        <w:t>Strategy and leadership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Board reviews progress on the strategic plan.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Board completes the executive director's annual evaluation.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Emergency succession plan for the executive director is current.</w:t>
      </w:r>
    </w:p>
    <w:p>
      <w:r>
        <w:rPr>
          <w:i w:val="0"/>
        </w:rPr>
        <w:t>Questions? Contact the Nonprofit Learning Hub at learning@cinderpeakscf.org or (928) 555-0147 ext. 124.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NONPROFIT LEARNING HUB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Nonprofit Board Governance Checklist</dc:title>
  <dc:subject>Nonprofit Learning Hub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