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APPLICANT CHECKLIST</w:t>
      </w:r>
    </w:p>
    <w:p>
      <w:pPr>
        <w:pStyle w:val="Title"/>
        <w:spacing w:after="80"/>
      </w:pPr>
      <w:r>
        <w:t>Grant Eligibility Checklist</w:t>
      </w:r>
    </w:p>
    <w:p>
      <w:r>
        <w:rPr>
          <w:i/>
          <w:color w:val="5F6B6E"/>
          <w:sz w:val="22"/>
        </w:rPr>
        <w:t>Confirm each item before you begin an application. If you cannot check every box, contact the program officer before applying.</w:t>
      </w:r>
    </w:p>
    <w:p>
      <w:pPr>
        <w:pStyle w:val="Heading1"/>
      </w:pPr>
      <w:r>
        <w:t>All competitive programs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organization is a 501(c)(3) nonprofit, a public or governmental agency, a federally recognized tribe or tribal program, or a project with a qualified fiscal sponsor.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organization does not discriminate in hiring, board membership, or delivery of services.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The request is not for individuals, scholarships, religious activities, lobbying, endowments, or fundraising events.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read the current guidelines or RFP for the program.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can submit by 5:00 p.m. MST (Arizona time) on the deadline date.</w:t>
      </w:r>
    </w:p>
    <w:p>
      <w:pPr>
        <w:pStyle w:val="Heading1"/>
      </w:pPr>
      <w:r>
        <w:t>Community Impact Grants (Spring and Fall)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are located in or primarily serve residents of Coconino, Yavapai, Navajo, or Apache counties.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operated for at least two years and have a board-approved annual budget.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did not receive a Community Impact Grant in calendar year 2026.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are submitting only one Community Impact application this calendar year.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work fits a field of interest funded in this cycle.</w:t>
      </w:r>
    </w:p>
    <w:p>
      <w:pPr>
        <w:pStyle w:val="Heading1"/>
      </w:pPr>
      <w:r>
        <w:t>Funds with statewide eligibility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Prism Fund: our organization serves LGBTQ+ Arizonans and has a nondiscrimination policy that includes sexual orientation and gender identity.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Rising Roots Fund: our organization or project is Black-led, or we have a documented partnership with a Black-led organization.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Plateau Indigenous Communities Fund: our organization is a tribe, tribal program, Native-led organization, or a documented partner of one.</w:t>
      </w:r>
    </w:p>
    <w:p>
      <w:pPr>
        <w:pStyle w:val="Heading1"/>
      </w:pPr>
      <w:r>
        <w:t>Award tiers for Community Impact Grants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Annual operating budget</w:t>
            </w:r>
          </w:p>
        </w:tc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Grant award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Up to $75,000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$75,001 – $200,000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$10,000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$200,001 – $750,000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$750,001 and above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$25,000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Theo Lindqvist, Grants Manager</w:t>
            </w:r>
          </w:p>
          <w:p>
            <w:r>
              <w:t>Email: tlindqvist@cinderpeakscf.org   ·   Phone: (928) 555-0147 ext. 119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APPLICANT CHECKLIST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Eligibility Checklist</dc:title>
  <dc:subject>Applicant Checklist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