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A8432A"/>
          <w:sz w:val="18"/>
        </w:rPr>
        <w:t>REQUEST FOR PROPOSALS</w:t>
      </w:r>
    </w:p>
    <w:p>
      <w:pPr>
        <w:pStyle w:val="Title"/>
        <w:spacing w:after="80"/>
      </w:pPr>
      <w:r>
        <w:t>Plateau Indigenous Communities Fund: 2027 Request for Proposals</w:t>
      </w:r>
    </w:p>
    <w:p>
      <w:r>
        <w:rPr>
          <w:i/>
          <w:color w:val="5F6B6E"/>
          <w:sz w:val="22"/>
        </w:rPr>
        <w:t>Competitive grant recommended by a community advisory council (two-stage)  ·  Letters of inquiry due December 4, 2026</w:t>
      </w:r>
    </w:p>
    <w:tbl>
      <w:tblPr>
        <w:tblW w:type="auto" w:w="0"/>
        <w:tblLook w:firstColumn="1" w:firstRow="1" w:lastColumn="0" w:lastRow="0" w:noHBand="0" w:noVBand="1" w:val="04A0"/>
      </w:tblPr>
      <w:tblGrid>
        <w:gridCol w:w="9648"/>
      </w:tblGrid>
      <w:tr>
        <w:tc>
          <w:tcPr>
            <w:tcW w:type="dxa" w:w="9648"/>
            <w:shd w:val="clear" w:color="auto" w:fill="E8EFEC"/>
          </w:tcPr>
          <w:p>
            <w:r>
              <w:rPr>
                <w:b/>
                <w:color w:val="2F5D50"/>
              </w:rPr>
              <w:t>At a glance</w:t>
            </w:r>
          </w:p>
          <w:p>
            <w:r>
              <w:t>Funding: $5,000 to $25,000</w:t>
            </w:r>
          </w:p>
          <w:p>
            <w:r>
              <w:t>Type of support: Project or general operating support</w:t>
            </w:r>
          </w:p>
          <w:p>
            <w:r>
              <w:t>Term: One year, beginning April 1, 2027</w:t>
            </w:r>
          </w:p>
          <w:p>
            <w:r>
              <w:t>Total available: Approximately $250,000</w:t>
            </w:r>
          </w:p>
          <w:p>
            <w:r>
              <w:t>Geographic eligibility: Applications are accepted from across Arizona. Priority is given to work on or near the Navajo Nation, Hopi Reservation, and other tribal lands in northern Arizona, and to urban Native communities in Flagstaff and Prescott.</w:t>
            </w:r>
          </w:p>
          <w:p>
            <w:r>
              <w:t>Program page: https://example.github.io/cinder-peaks-community-foundation/grants/plateau-indigenous-communities-fund/</w:t>
            </w:r>
          </w:p>
        </w:tc>
      </w:tr>
    </w:tbl>
    <w:p>
      <w:pPr>
        <w:spacing w:after="40"/>
      </w:pPr>
    </w:p>
    <w:p>
      <w:pPr>
        <w:pStyle w:val="Heading1"/>
      </w:pPr>
      <w:r>
        <w:t>About the program</w:t>
      </w:r>
    </w:p>
    <w:p>
      <w:r>
        <w:rPr>
          <w:i w:val="0"/>
        </w:rPr>
        <w:t>The Plateau Indigenous Communities Fund was established in 1996 through a bequest from a Flagstaff trading-post family and has since grown through gifts from more than 400 donors. Only the fund's annual earnings are granted, so the fund will support Native communities in perpetuity.</w:t>
      </w:r>
    </w:p>
    <w:p>
      <w:r>
        <w:rPr>
          <w:i w:val="0"/>
        </w:rPr>
        <w:t>All grants are recommended by the Plateau Fund Advisory Council, seven community members from tribal nations across northern Arizona. The council has identified four core values that guide funding: community, language, culture, and land.</w:t>
      </w:r>
    </w:p>
    <w:p>
      <w:r>
        <w:rPr>
          <w:i w:val="0"/>
        </w:rPr>
        <w:t>In 2026 the fund awarded $238,000 to 31 organizations, with grants ranging from $2,500 to $20,000. For 2027 the council has increased the maximum award to $25,000.</w:t>
      </w:r>
    </w:p>
    <w:p>
      <w:pPr>
        <w:pStyle w:val="Heading1"/>
      </w:pPr>
      <w:r>
        <w:t>Focus and impact areas</w:t>
      </w:r>
    </w:p>
    <w:p>
      <w:r>
        <w:rPr>
          <w:i w:val="0"/>
        </w:rPr>
        <w:t>Focus areas: Indigenous Communities.</w:t>
      </w:r>
    </w:p>
    <w:p>
      <w:r>
        <w:rPr>
          <w:i w:val="0"/>
        </w:rPr>
        <w:t>We welcome proposals that address one or more of the following impact areas:</w:t>
      </w:r>
    </w:p>
    <w:p>
      <w:pPr>
        <w:pStyle w:val="ListBullet"/>
      </w:pPr>
      <w:r>
        <w:t>Indigenous language revitalization and immersion programs</w:t>
      </w:r>
    </w:p>
    <w:p>
      <w:pPr>
        <w:pStyle w:val="ListBullet"/>
      </w:pPr>
      <w:r>
        <w:t>Traditional arts, ceremonies, and intergenerational knowledge</w:t>
      </w:r>
    </w:p>
    <w:p>
      <w:pPr>
        <w:pStyle w:val="ListBullet"/>
      </w:pPr>
      <w:r>
        <w:t>Traditional foodways, farming, and land and water stewardship</w:t>
      </w:r>
    </w:p>
    <w:p>
      <w:pPr>
        <w:pStyle w:val="ListBullet"/>
      </w:pPr>
      <w:r>
        <w:t>Native youth leadership, wellness, and education</w:t>
      </w:r>
    </w:p>
    <w:p>
      <w:pPr>
        <w:pStyle w:val="ListBullet"/>
      </w:pPr>
      <w:r>
        <w:t>Capacity of Native-led nonprofits and community-based tribal programs</w:t>
      </w:r>
    </w:p>
    <w:p>
      <w:pPr>
        <w:pStyle w:val="Heading2"/>
      </w:pPr>
      <w:r>
        <w:t>Populations served</w:t>
      </w:r>
    </w:p>
    <w:p>
      <w:pPr>
        <w:pStyle w:val="ListBullet"/>
      </w:pPr>
      <w:r>
        <w:t>Members of Arizona's tribal nations and urban Native communities</w:t>
      </w:r>
    </w:p>
    <w:p>
      <w:pPr>
        <w:pStyle w:val="ListBullet"/>
      </w:pPr>
      <w:r>
        <w:t>Native youth and elders</w:t>
      </w:r>
    </w:p>
    <w:p>
      <w:pPr>
        <w:pStyle w:val="ListBullet"/>
      </w:pPr>
      <w:r>
        <w:t>Native language speakers and learners</w:t>
      </w:r>
    </w:p>
    <w:p>
      <w:pPr>
        <w:pStyle w:val="ListBullet"/>
      </w:pPr>
      <w:r>
        <w:t>Native farmers and land stewards</w:t>
      </w:r>
    </w:p>
    <w:p>
      <w:pPr>
        <w:pStyle w:val="Heading1"/>
      </w:pPr>
      <w:r>
        <w:t>Eligibility</w:t>
      </w:r>
    </w:p>
    <w:p>
      <w:pPr>
        <w:pStyle w:val="Heading2"/>
      </w:pPr>
      <w:r>
        <w:t>Geographic eligibility</w:t>
      </w:r>
    </w:p>
    <w:p>
      <w:r>
        <w:rPr>
          <w:i w:val="0"/>
        </w:rPr>
        <w:t>Applications are accepted from across Arizona. Priority is given to work on or near the Navajo Nation, Hopi Reservation, and other tribal lands in northern Arizona, and to urban Native communities in Flagstaff and Prescott.</w:t>
      </w:r>
    </w:p>
    <w:p>
      <w:pPr>
        <w:pStyle w:val="Heading2"/>
      </w:pPr>
      <w:r>
        <w:t>Who may apply</w:t>
      </w:r>
    </w:p>
    <w:p>
      <w:pPr>
        <w:pStyle w:val="ListBullet"/>
      </w:pPr>
      <w:r>
        <w:t>Federally recognized tribes and tribal programs, chapters, and tribal colleges in Arizona</w:t>
      </w:r>
    </w:p>
    <w:p>
      <w:pPr>
        <w:pStyle w:val="ListBullet"/>
      </w:pPr>
      <w:r>
        <w:t>Native-led 501(c)(3) organizations, or Native-led projects with a qualified fiscal sponsor</w:t>
      </w:r>
    </w:p>
    <w:p>
      <w:pPr>
        <w:pStyle w:val="ListBullet"/>
      </w:pPr>
      <w:r>
        <w:t>Non-Native-led organizations may apply only in formal partnership with a tribe or Native-led organization, documented by a letter of support</w:t>
      </w:r>
    </w:p>
    <w:p>
      <w:pPr>
        <w:pStyle w:val="ListBullet"/>
      </w:pPr>
      <w:r>
        <w:t>Schools serving a majority Native student population, including Bureau of Indian Education and tribally controlled schools</w:t>
      </w:r>
    </w:p>
    <w:p>
      <w:pPr>
        <w:pStyle w:val="ListBullet"/>
      </w:pPr>
      <w:r>
        <w:t>Work takes place in Arizona and is guided by Native community priorities</w:t>
      </w:r>
    </w:p>
    <w:p>
      <w:pPr>
        <w:pStyle w:val="Heading2"/>
      </w:pPr>
      <w:r>
        <w:t>What we do not fund</w:t>
      </w:r>
    </w:p>
    <w:p>
      <w:pPr>
        <w:pStyle w:val="ListBullet"/>
      </w:pPr>
      <w:r>
        <w:t>Individuals, scholarships, or per capita distributions</w:t>
      </w:r>
    </w:p>
    <w:p>
      <w:pPr>
        <w:pStyle w:val="ListBullet"/>
      </w:pPr>
      <w:r>
        <w:t>Projects that commercialize sacred or ceremonial knowledge</w:t>
      </w:r>
    </w:p>
    <w:p>
      <w:pPr>
        <w:pStyle w:val="ListBullet"/>
      </w:pPr>
      <w:r>
        <w:t>Capital campaigns or endowments</w:t>
      </w:r>
    </w:p>
    <w:p>
      <w:pPr>
        <w:pStyle w:val="ListBullet"/>
      </w:pPr>
      <w:r>
        <w:t>Lobbying or partisan political activity</w:t>
      </w:r>
    </w:p>
    <w:p>
      <w:pPr>
        <w:pStyle w:val="Heading1"/>
      </w:pPr>
      <w:r>
        <w:t>Funding</w:t>
      </w:r>
    </w:p>
    <w:p>
      <w:r>
        <w:rPr>
          <w:i w:val="0"/>
        </w:rPr>
        <w:t>$5,000 to $25,000. Project or general operating support.</w:t>
      </w:r>
    </w:p>
    <w:p>
      <w:pPr>
        <w:pStyle w:val="Heading1"/>
      </w:pPr>
      <w:r>
        <w:t>Key dates</w:t>
      </w:r>
    </w:p>
    <w:tbl>
      <w:tblPr>
        <w:tblW w:type="auto" w:w="0"/>
        <w:jc w:val="center"/>
        <w:tblLook w:firstColumn="1" w:firstRow="1" w:lastColumn="0" w:lastRow="0" w:noHBand="0" w:noVBand="1" w:val="04A0"/>
        <w:tblBorders>
          <w:top w:val="single" w:sz="4" w:space="0" w:color="B9C4C0"/>
          <w:left w:val="single" w:sz="4" w:space="0" w:color="B9C4C0"/>
          <w:bottom w:val="single" w:sz="4" w:space="0" w:color="B9C4C0"/>
          <w:right w:val="single" w:sz="4" w:space="0" w:color="B9C4C0"/>
          <w:insideH w:val="single" w:sz="4" w:space="0" w:color="B9C4C0"/>
          <w:insideV w:val="single" w:sz="4" w:space="0" w:color="B9C4C0"/>
        </w:tblBorders>
      </w:tblPr>
      <w:tblGrid>
        <w:gridCol w:w="4824"/>
        <w:gridCol w:w="4824"/>
      </w:tblGrid>
      <w:tr>
        <w:trPr>
          <w:tblHeader w:val="true"/>
        </w:trPr>
        <w:tc>
          <w:tcPr>
            <w:tcW w:type="dxa" w:w="3456"/>
            <w:shd w:val="clear" w:color="auto" w:fill="2F5D50"/>
          </w:tcPr>
          <w:p>
            <w:r/>
            <w:r>
              <w:rPr>
                <w:b/>
                <w:color w:val="FFFFFF"/>
                <w:sz w:val="19"/>
              </w:rPr>
              <w:t>Milestone</w:t>
            </w:r>
          </w:p>
        </w:tc>
        <w:tc>
          <w:tcPr>
            <w:tcW w:type="dxa" w:w="6192"/>
            <w:shd w:val="clear" w:color="auto" w:fill="2F5D50"/>
          </w:tcPr>
          <w:p>
            <w:r/>
            <w:r>
              <w:rPr>
                <w:b/>
                <w:color w:val="FFFFFF"/>
                <w:sz w:val="19"/>
              </w:rPr>
              <w:t>Date</w:t>
            </w:r>
          </w:p>
        </w:tc>
      </w:tr>
      <w:tr>
        <w:tc>
          <w:tcPr>
            <w:tcW w:type="dxa" w:w="3456"/>
            <w:shd w:val="clear" w:color="auto" w:fill="F4EEE4"/>
          </w:tcPr>
          <w:p>
            <w:pPr>
              <w:spacing w:after="40"/>
            </w:pPr>
            <w:r/>
            <w:r>
              <w:rPr>
                <w:b/>
                <w:sz w:val="19"/>
              </w:rPr>
              <w:t>Application period opens</w:t>
            </w:r>
          </w:p>
        </w:tc>
        <w:tc>
          <w:tcPr>
            <w:tcW w:type="dxa" w:w="6192"/>
          </w:tcPr>
          <w:p>
            <w:pPr>
              <w:spacing w:after="40"/>
            </w:pPr>
            <w:r/>
            <w:r>
              <w:rPr>
                <w:sz w:val="19"/>
              </w:rPr>
              <w:t>Monday, October 5, 2026</w:t>
            </w:r>
          </w:p>
        </w:tc>
      </w:tr>
      <w:tr>
        <w:tc>
          <w:tcPr>
            <w:tcW w:type="dxa" w:w="3456"/>
            <w:shd w:val="clear" w:color="auto" w:fill="F4EEE4"/>
          </w:tcPr>
          <w:p>
            <w:pPr>
              <w:spacing w:after="40"/>
            </w:pPr>
            <w:r/>
            <w:r>
              <w:rPr>
                <w:b/>
                <w:sz w:val="19"/>
              </w:rPr>
              <w:t>Letter of inquiry deadline</w:t>
            </w:r>
          </w:p>
        </w:tc>
        <w:tc>
          <w:tcPr>
            <w:tcW w:type="dxa" w:w="6192"/>
          </w:tcPr>
          <w:p>
            <w:pPr>
              <w:spacing w:after="40"/>
            </w:pPr>
            <w:r/>
            <w:r>
              <w:rPr>
                <w:sz w:val="19"/>
              </w:rPr>
              <w:t>Friday, December 4, 2026, 5:00 p.m. MST</w:t>
            </w:r>
          </w:p>
        </w:tc>
      </w:tr>
      <w:tr>
        <w:tc>
          <w:tcPr>
            <w:tcW w:type="dxa" w:w="3456"/>
            <w:shd w:val="clear" w:color="auto" w:fill="F4EEE4"/>
          </w:tcPr>
          <w:p>
            <w:pPr>
              <w:spacing w:after="40"/>
            </w:pPr>
            <w:r/>
            <w:r>
              <w:rPr>
                <w:b/>
                <w:sz w:val="19"/>
              </w:rPr>
              <w:t>Invitations to submit a full application</w:t>
            </w:r>
          </w:p>
        </w:tc>
        <w:tc>
          <w:tcPr>
            <w:tcW w:type="dxa" w:w="6192"/>
          </w:tcPr>
          <w:p>
            <w:pPr>
              <w:spacing w:after="40"/>
            </w:pPr>
            <w:r/>
            <w:r>
              <w:rPr>
                <w:sz w:val="19"/>
              </w:rPr>
              <w:t>Sent by December 18, 2026</w:t>
            </w:r>
          </w:p>
        </w:tc>
      </w:tr>
      <w:tr>
        <w:tc>
          <w:tcPr>
            <w:tcW w:type="dxa" w:w="3456"/>
            <w:shd w:val="clear" w:color="auto" w:fill="F4EEE4"/>
          </w:tcPr>
          <w:p>
            <w:pPr>
              <w:spacing w:after="40"/>
            </w:pPr>
            <w:r/>
            <w:r>
              <w:rPr>
                <w:b/>
                <w:sz w:val="19"/>
              </w:rPr>
              <w:t>Full application deadline</w:t>
            </w:r>
          </w:p>
        </w:tc>
        <w:tc>
          <w:tcPr>
            <w:tcW w:type="dxa" w:w="6192"/>
          </w:tcPr>
          <w:p>
            <w:pPr>
              <w:spacing w:after="40"/>
            </w:pPr>
            <w:r/>
            <w:r>
              <w:rPr>
                <w:sz w:val="19"/>
              </w:rPr>
              <w:t>Friday, February 5, 2027, 5:00 p.m. MST</w:t>
            </w:r>
          </w:p>
        </w:tc>
      </w:tr>
      <w:tr>
        <w:tc>
          <w:tcPr>
            <w:tcW w:type="dxa" w:w="3456"/>
            <w:shd w:val="clear" w:color="auto" w:fill="F4EEE4"/>
          </w:tcPr>
          <w:p>
            <w:pPr>
              <w:spacing w:after="40"/>
            </w:pPr>
            <w:r/>
            <w:r>
              <w:rPr>
                <w:b/>
                <w:sz w:val="19"/>
              </w:rPr>
              <w:t>Decision</w:t>
            </w:r>
          </w:p>
        </w:tc>
        <w:tc>
          <w:tcPr>
            <w:tcW w:type="dxa" w:w="6192"/>
          </w:tcPr>
          <w:p>
            <w:pPr>
              <w:spacing w:after="40"/>
            </w:pPr>
            <w:r/>
            <w:r>
              <w:rPr>
                <w:sz w:val="19"/>
              </w:rPr>
              <w:t>Award decisions announced by March 19, 2027</w:t>
            </w:r>
          </w:p>
        </w:tc>
      </w:tr>
      <w:tr>
        <w:tc>
          <w:tcPr>
            <w:tcW w:type="dxa" w:w="3456"/>
            <w:shd w:val="clear" w:color="auto" w:fill="F4EEE4"/>
          </w:tcPr>
          <w:p>
            <w:pPr>
              <w:spacing w:after="40"/>
            </w:pPr>
            <w:r/>
            <w:r>
              <w:rPr>
                <w:b/>
                <w:sz w:val="19"/>
              </w:rPr>
              <w:t>Grant period</w:t>
            </w:r>
          </w:p>
        </w:tc>
        <w:tc>
          <w:tcPr>
            <w:tcW w:type="dxa" w:w="6192"/>
          </w:tcPr>
          <w:p>
            <w:pPr>
              <w:spacing w:after="40"/>
            </w:pPr>
            <w:r/>
            <w:r>
              <w:rPr>
                <w:sz w:val="19"/>
              </w:rPr>
              <w:t>April 1, 2027 – March 31, 2028</w:t>
            </w:r>
          </w:p>
        </w:tc>
      </w:tr>
    </w:tbl>
    <w:p>
      <w:pPr>
        <w:spacing w:after="40"/>
      </w:pPr>
    </w:p>
    <w:p>
      <w:pPr>
        <w:pStyle w:val="Heading1"/>
      </w:pPr>
      <w:r>
        <w:t>How to apply</w:t>
      </w:r>
    </w:p>
    <w:p>
      <w:r>
        <w:rPr>
          <w:i w:val="0"/>
        </w:rPr>
        <w:t>Applicants may submit a written letter of inquiry or request a recorded oral letter of inquiry by phone. Oral submissions are reviewed in the same way as written letters.</w:t>
      </w:r>
    </w:p>
    <w:p>
      <w:pPr>
        <w:spacing w:after="80"/>
        <w:ind w:left="432" w:hanging="360"/>
      </w:pPr>
      <w:r>
        <w:rPr>
          <w:b/>
        </w:rPr>
        <w:t xml:space="preserve">1.  Read the RFP. </w:t>
      </w:r>
      <w:r>
        <w:t>Download the Plateau Indigenous Communities Fund 2027 Request for Proposals.</w:t>
      </w:r>
    </w:p>
    <w:p>
      <w:pPr>
        <w:spacing w:after="80"/>
        <w:ind w:left="432" w:hanging="360"/>
      </w:pPr>
      <w:r>
        <w:rPr>
          <w:b/>
        </w:rPr>
        <w:t xml:space="preserve">2.  Submit a letter of inquiry. </w:t>
      </w:r>
      <w:r>
        <w:t>Email the completed Letter of Inquiry Template to grants@cinderpeakscf.org, or call the program officer to schedule an oral letter of inquiry, by 5:00 p.m. MST on December 4, 2026.</w:t>
      </w:r>
    </w:p>
    <w:p>
      <w:pPr>
        <w:spacing w:after="80"/>
        <w:ind w:left="432" w:hanging="360"/>
      </w:pPr>
      <w:r>
        <w:rPr>
          <w:b/>
        </w:rPr>
        <w:t xml:space="preserve">3.  Advisory Council review. </w:t>
      </w:r>
      <w:r>
        <w:t>The Plateau Fund Advisory Council reviews all letters and invites selected applicants to submit a full application by December 18, 2026.</w:t>
      </w:r>
    </w:p>
    <w:p>
      <w:pPr>
        <w:spacing w:after="80"/>
        <w:ind w:left="432" w:hanging="360"/>
      </w:pPr>
      <w:r>
        <w:rPr>
          <w:b/>
        </w:rPr>
        <w:t xml:space="preserve">4.  Submit the full application. </w:t>
      </w:r>
      <w:r>
        <w:t>Invited applicants submit the full application and Grant Project Budget Template in the CPCF Grant Portal by 5:00 p.m. MST on February 5, 2027.</w:t>
      </w:r>
    </w:p>
    <w:p>
      <w:pPr>
        <w:spacing w:after="80"/>
        <w:ind w:left="432" w:hanging="360"/>
      </w:pPr>
      <w:r>
        <w:rPr>
          <w:b/>
        </w:rPr>
        <w:t xml:space="preserve">5.  Decision. </w:t>
      </w:r>
      <w:r>
        <w:t>The Advisory Council's recommendations are approved by the Foundation board, and applicants are notified by March 19, 2027.</w:t>
      </w:r>
    </w:p>
    <w:p>
      <w:pPr>
        <w:pStyle w:val="Heading1"/>
      </w:pPr>
      <w:r>
        <w:t>Review criteria</w:t>
      </w:r>
    </w:p>
    <w:p>
      <w:pPr>
        <w:pStyle w:val="ListBullet"/>
      </w:pPr>
      <w:r>
        <w:t>The work is led by and accountable to Native communities</w:t>
      </w:r>
    </w:p>
    <w:p>
      <w:pPr>
        <w:pStyle w:val="ListBullet"/>
      </w:pPr>
      <w:r>
        <w:t>Alignment with the core values of community, language, culture, and land</w:t>
      </w:r>
    </w:p>
    <w:p>
      <w:pPr>
        <w:pStyle w:val="ListBullet"/>
      </w:pPr>
      <w:r>
        <w:t>Intergenerational participation</w:t>
      </w:r>
    </w:p>
    <w:p>
      <w:pPr>
        <w:pStyle w:val="ListBullet"/>
      </w:pPr>
      <w:r>
        <w:t>Clear goals and a realistic plan and budget</w:t>
      </w:r>
    </w:p>
    <w:p>
      <w:pPr>
        <w:pStyle w:val="ListBullet"/>
      </w:pPr>
      <w:r>
        <w:t>Partnerships with tribal governments, chapters, or other Native-led organizations</w:t>
      </w:r>
    </w:p>
    <w:p>
      <w:pPr>
        <w:pStyle w:val="Heading1"/>
      </w:pPr>
      <w:r>
        <w:t>Reporting requirements</w:t>
      </w:r>
    </w:p>
    <w:p>
      <w:r>
        <w:rPr>
          <w:i w:val="0"/>
        </w:rPr>
        <w:t>Grantees submit a final grant report within 30 days of the end of the grant period. Reports may be written, recorded as audio or video, or shared in a conversation with the program officer.</w:t>
      </w:r>
    </w:p>
    <w:p>
      <w:pPr>
        <w:pStyle w:val="ListBullet"/>
      </w:pPr>
      <w:r>
        <w:t>What was accomplished and who participated</w:t>
      </w:r>
    </w:p>
    <w:p>
      <w:pPr>
        <w:pStyle w:val="ListBullet"/>
      </w:pPr>
      <w:r>
        <w:t>How the work strengthened community, language, culture, or land</w:t>
      </w:r>
    </w:p>
    <w:p>
      <w:pPr>
        <w:pStyle w:val="ListBullet"/>
      </w:pPr>
      <w:r>
        <w:t>Budget-to-actual expenses</w:t>
      </w:r>
    </w:p>
    <w:p>
      <w:pPr>
        <w:pStyle w:val="ListBullet"/>
      </w:pPr>
      <w:r>
        <w:t>Photos or media the grantee chooses to share, with permission noted</w:t>
      </w:r>
    </w:p>
    <w:p>
      <w:r>
        <w:rPr>
          <w:b/>
        </w:rPr>
        <w:t xml:space="preserve">Due: </w:t>
      </w:r>
      <w:r>
        <w:rPr>
          <w:i w:val="0"/>
        </w:rPr>
        <w:t>April 30, 2028.</w:t>
      </w:r>
    </w:p>
    <w:p>
      <w:pPr>
        <w:pStyle w:val="Heading1"/>
      </w:pPr>
      <w:r>
        <w:t>Templates and supporting documents</w:t>
      </w:r>
    </w:p>
    <w:p>
      <w:pPr>
        <w:pStyle w:val="ListBullet"/>
      </w:pPr>
      <w:r>
        <w:rPr>
          <w:b/>
        </w:rPr>
        <w:t xml:space="preserve">Letter of Inquiry Template: </w:t>
      </w:r>
      <w:r>
        <w:t>https://example.github.io/cinder-peaks-community-foundation/documents/templates/cpcf-letter-of-inquiry-template.pdf</w:t>
      </w:r>
    </w:p>
    <w:p>
      <w:pPr>
        <w:pStyle w:val="ListBullet"/>
      </w:pPr>
      <w:r>
        <w:rPr>
          <w:b/>
        </w:rPr>
        <w:t xml:space="preserve">Grant Project Budget Template: </w:t>
      </w:r>
      <w:r>
        <w:t>https://example.github.io/cinder-peaks-community-foundation/documents/templates/cpcf-grant-project-budget-template.pdf</w:t>
      </w:r>
    </w:p>
    <w:p>
      <w:pPr>
        <w:pStyle w:val="ListBullet"/>
      </w:pPr>
      <w:r>
        <w:rPr>
          <w:b/>
        </w:rPr>
        <w:t xml:space="preserve">Final Grant Report Form: </w:t>
      </w:r>
      <w:r>
        <w:t>https://example.github.io/cinder-peaks-community-foundation/documents/reporting/cpcf-final-grant-report-form.pdf</w:t>
      </w:r>
    </w:p>
    <w:p>
      <w:pPr>
        <w:pStyle w:val="Heading1"/>
      </w:pPr>
      <w:r>
        <w:t>Frequently asked questions</w:t>
      </w:r>
    </w:p>
    <w:p>
      <w:r>
        <w:rPr>
          <w:b/>
          <w:i w:val="0"/>
        </w:rPr>
        <w:t>Can a chapter house apply directly?</w:t>
      </w:r>
    </w:p>
    <w:p>
      <w:r>
        <w:rPr>
          <w:i w:val="0"/>
        </w:rPr>
        <w:t>Yes. Navajo Nation chapters and Hopi villages may apply directly or through a tribal program or Native-led nonprofit acting as fiscal sponsor.</w:t>
      </w:r>
    </w:p>
    <w:p>
      <w:r>
        <w:rPr>
          <w:b/>
          <w:i w:val="0"/>
        </w:rPr>
        <w:t>Can the letter of inquiry be submitted in a Native language?</w:t>
      </w:r>
    </w:p>
    <w:p>
      <w:r>
        <w:rPr>
          <w:i w:val="0"/>
        </w:rPr>
        <w:t>Yes. Letters and oral submissions are welcome in Diné bizaad, Hopilavayi, and other Indigenous languages. The Foundation will arrange translation.</w:t>
      </w:r>
    </w:p>
    <w:tbl>
      <w:tblPr>
        <w:tblW w:type="auto" w:w="0"/>
        <w:tblLook w:firstColumn="1" w:firstRow="1" w:lastColumn="0" w:lastRow="0" w:noHBand="0" w:noVBand="1" w:val="04A0"/>
      </w:tblPr>
      <w:tblGrid>
        <w:gridCol w:w="9648"/>
      </w:tblGrid>
      <w:tr>
        <w:tc>
          <w:tcPr>
            <w:tcW w:type="dxa" w:w="9648"/>
            <w:shd w:val="clear" w:color="auto" w:fill="E8EFEC"/>
          </w:tcPr>
          <w:p>
            <w:r>
              <w:rPr>
                <w:b/>
                <w:color w:val="2F5D50"/>
              </w:rPr>
              <w:t>Questions?</w:t>
            </w:r>
          </w:p>
          <w:p>
            <w:r>
              <w:t>Dana Whitehorse, Program Officer, Indigenous Communities</w:t>
            </w:r>
          </w:p>
          <w:p>
            <w:r>
              <w:t>Email: dwhitehorse@cinderpeakscf.org   ·   Phone: (928) 555-0147 ext. 121</w:t>
            </w:r>
          </w:p>
          <w:p>
            <w:r>
              <w:t>Cinder Peaks Community Foundation, 1120 N. Cinder Basin Road, Suite 200, Flagstaff, AZ 86001</w:t>
            </w:r>
          </w:p>
        </w:tc>
      </w:tr>
    </w:tbl>
    <w:p>
      <w:pPr>
        <w:spacing w:after="40"/>
      </w:pPr>
    </w:p>
    <w:sectPr w:rsidR="00FC693F" w:rsidRPr="0006063C" w:rsidSect="00034616">
      <w:headerReference w:type="default" r:id="rId9"/>
      <w:footerReference w:type="default" r:id="rId10"/>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E"/>
        <w:sz w:val="15"/>
      </w:rPr>
      <w:t>Cinder Peaks Community Foundation  ·  1120 N. Cinder Basin Road, Suite 200, Flagstaff, AZ 86001  ·  (928) 555-0147  ·  grants@cinderpeakscf.org</w:t>
    </w:r>
  </w:p>
  <w:p>
    <w:pPr>
      <w:jc w:val="center"/>
    </w:pPr>
    <w:r>
      <w:rPr>
        <w:sz w:val="15"/>
      </w:rPr>
      <w:t xml:space="preserve">Page </w:t>
    </w:r>
    <w:r>
      <w:rPr>
        <w:sz w:val="15"/>
      </w:rPr>
      <w:fldChar w:fldCharType="begin"/>
      <w:instrText xml:space="preserve">PAGE</w:instrText>
      <w:fldChar w:fldCharType="end"/>
    </w:r>
    <w:r>
      <w:rPr>
        <w:sz w:val="15"/>
      </w:rPr>
      <w:t xml:space="preserve"> of </w:t>
    </w:r>
    <w:r>
      <w:rPr>
        <w:sz w:val="15"/>
      </w:rPr>
      <w:fldChar w:fldCharType="begin"/>
      <w:instrText xml:space="preserve">NUMPAGES</w:instrText>
      <w:fldChar w:fldCharType="end"/>
    </w:r>
    <w:r>
      <w:rPr>
        <w:color w:val="5F6B6E"/>
        <w:sz w:val="13"/>
      </w:rPr>
      <w:t xml:space="preserve">   ·   A fictional organization created for website demonstration and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inline xmlns:a="http://schemas.openxmlformats.org/drawingml/2006/main" xmlns:pic="http://schemas.openxmlformats.org/drawingml/2006/picture">
          <wp:extent cx="1395374" cy="384048"/>
          <wp:docPr id="1" name="Picture 1"/>
          <wp:cNvGraphicFramePr>
            <a:graphicFrameLocks noChangeAspect="1"/>
          </wp:cNvGraphicFramePr>
          <a:graphic>
            <a:graphicData uri="http://schemas.openxmlformats.org/drawingml/2006/picture">
              <pic:pic>
                <pic:nvPicPr>
                  <pic:cNvPr id="0" name="logo-doc.png"/>
                  <pic:cNvPicPr/>
                </pic:nvPicPr>
                <pic:blipFill>
                  <a:blip r:embed="rId1"/>
                  <a:stretch>
                    <a:fillRect/>
                  </a:stretch>
                </pic:blipFill>
                <pic:spPr>
                  <a:xfrm>
                    <a:off x="0" y="0"/>
                    <a:ext cx="1395374" cy="384048"/>
                  </a:xfrm>
                  <a:prstGeom prst="rect"/>
                </pic:spPr>
              </pic:pic>
            </a:graphicData>
          </a:graphic>
        </wp:inline>
      </w:drawing>
    </w:r>
    <w:r>
      <w:rPr>
        <w:b/>
        <w:color w:val="5F6B6E"/>
        <w:sz w:val="16"/>
      </w:rPr>
      <w:tab/>
      <w:tab/>
      <w:t>REQUEST FOR PROPOSALS</w:t>
    </w:r>
  </w:p>
  <w:p>
    <w:pPr>
      <w:pBdr>
        <w:bottom w:val="single" w:sz="8" w:space="1" w:color="A8432A"/>
      </w:pBd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2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mbria" w:hAnsi="Cambria" w:cs="Cambria" w:eastAsia="Cambria"/>
      <w:b/>
      <w:bCs/>
      <w:color w:val="A8432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mbria" w:hAnsi="Cambria" w:cs="Cambria" w:eastAsia="Cambria"/>
      <w:b/>
      <w:bCs/>
      <w:color w:val="2F5D5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cs="Calibri" w:eastAsia="Calibri"/>
      <w:b/>
      <w:bCs/>
      <w:color w:val="1F2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s="Cambria" w:eastAsia="Cambria"/>
      <w:b/>
      <w:color w:val="1F2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A2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color w:val="1F2A2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Plateau Indigenous Communities Fund: 2027 Request for Proposals</dc:title>
  <dc:subject>Request for Proposals</dc:subject>
  <dc:creator>Cinder Peaks Community Foundation</dc:creator>
  <cp:keywords>Cinder Peaks Community Foundation; grants; northern Arizona</cp:keywords>
  <dc:description>Site Version 1</dc:description>
  <cp:lastModifiedBy/>
  <cp:revision>1</cp:revision>
  <dcterms:created xsi:type="dcterms:W3CDTF">2013-12-23T23:15:00Z</dcterms:created>
  <dcterms:modified xsi:type="dcterms:W3CDTF">2013-12-23T23:15:00Z</dcterms:modified>
  <cp:category/>
</cp:coreProperties>
</file>