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A8432A"/>
          <w:sz w:val="18"/>
        </w:rPr>
        <w:t>REQUEST FOR PROPOSALS</w:t>
      </w:r>
    </w:p>
    <w:p>
      <w:pPr>
        <w:pStyle w:val="Title"/>
        <w:spacing w:after="80"/>
      </w:pPr>
      <w:r>
        <w:t>Stronger Nonprofits Capacity Grants: 2027 Request for Proposals</w:t>
      </w:r>
    </w:p>
    <w:p>
      <w:r>
        <w:rPr>
          <w:i/>
          <w:color w:val="5F6B6E"/>
          <w:sz w:val="22"/>
        </w:rPr>
        <w:t>Competitive capacity-building grant (two-stage)  ·  Letters of inquiry due November 13,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8EFEC"/>
          </w:tcPr>
          <w:p>
            <w:r>
              <w:rPr>
                <w:b/>
                <w:color w:val="2F5D50"/>
              </w:rPr>
              <w:t>At a glance</w:t>
            </w:r>
          </w:p>
          <w:p>
            <w:r>
              <w:t>Funding: $5,000 to $20,000</w:t>
            </w:r>
          </w:p>
          <w:p>
            <w:r>
              <w:t>Type of support: Capacity-building project support</w:t>
            </w:r>
          </w:p>
          <w:p>
            <w:r>
              <w:t>Term: Twelve months, beginning March 1, 2027</w:t>
            </w:r>
          </w:p>
          <w:p>
            <w:r>
              <w:t>Total available: Approximately $180,000</w:t>
            </w:r>
          </w:p>
          <w:p>
            <w:r>
              <w:t>Geographic eligibility: Organizations must be headquartered in Coconino, Yavapai, Navajo, or Apache counties.</w:t>
            </w:r>
          </w:p>
          <w:p>
            <w:r>
              <w:t>Program page: https://example.github.io/cinder-peaks-community-foundation/grants/stronger-nonprofits-capacity-grants/</w:t>
            </w:r>
          </w:p>
        </w:tc>
      </w:tr>
    </w:tbl>
    <w:p>
      <w:pPr>
        <w:spacing w:after="40"/>
      </w:pPr>
    </w:p>
    <w:p>
      <w:pPr>
        <w:pStyle w:val="Heading1"/>
      </w:pPr>
      <w:r>
        <w:t>About the program</w:t>
      </w:r>
    </w:p>
    <w:p>
      <w:r>
        <w:rPr>
          <w:i w:val="0"/>
        </w:rPr>
        <w:t>Strong communities need strong nonprofits. Stronger Nonprofits Capacity Grants fund time-limited projects that make an organization more effective and resilient, such as a strategic plan, a new financial management system, a fundraising plan, board development, or leadership succession planning.</w:t>
      </w:r>
    </w:p>
    <w:p>
      <w:r>
        <w:rPr>
          <w:i w:val="0"/>
        </w:rPr>
        <w:t>Capacity grants are paired with the Foundation's Nonprofit Learning Hub. Grantees join a peer cohort that meets four times during the grant year, and many projects use consultants from the Foundation's vetted consultant roster.</w:t>
      </w:r>
    </w:p>
    <w:p>
      <w:r>
        <w:rPr>
          <w:i w:val="0"/>
        </w:rPr>
        <w:t>Capacity grants do not count against an organization's eligibility for Community Impact Grants.</w:t>
      </w:r>
    </w:p>
    <w:p>
      <w:pPr>
        <w:pStyle w:val="Heading1"/>
      </w:pPr>
      <w:r>
        <w:t>Focus and impact areas</w:t>
      </w:r>
    </w:p>
    <w:p>
      <w:r>
        <w:rPr>
          <w:i w:val="0"/>
        </w:rPr>
        <w:t>Focus areas: Civic &amp; Economic Opportunity.</w:t>
      </w:r>
    </w:p>
    <w:p>
      <w:r>
        <w:rPr>
          <w:i w:val="0"/>
        </w:rPr>
        <w:t>We welcome proposals that address one or more of the following impact areas:</w:t>
      </w:r>
    </w:p>
    <w:p>
      <w:pPr>
        <w:pStyle w:val="ListBullet"/>
      </w:pPr>
      <w:r>
        <w:t>Strategic and business planning</w:t>
      </w:r>
    </w:p>
    <w:p>
      <w:pPr>
        <w:pStyle w:val="ListBullet"/>
      </w:pPr>
      <w:r>
        <w:t>Financial management systems and controls</w:t>
      </w:r>
    </w:p>
    <w:p>
      <w:pPr>
        <w:pStyle w:val="ListBullet"/>
      </w:pPr>
      <w:r>
        <w:t>Fund development planning and donor database systems</w:t>
      </w:r>
    </w:p>
    <w:p>
      <w:pPr>
        <w:pStyle w:val="ListBullet"/>
      </w:pPr>
      <w:r>
        <w:t>Board recruitment, training, and governance policies</w:t>
      </w:r>
    </w:p>
    <w:p>
      <w:pPr>
        <w:pStyle w:val="ListBullet"/>
      </w:pPr>
      <w:r>
        <w:t>Technology, data, and cybersecurity improvements</w:t>
      </w:r>
    </w:p>
    <w:p>
      <w:pPr>
        <w:pStyle w:val="ListBullet"/>
      </w:pPr>
      <w:r>
        <w:t>Executive transition and leadership succession planning</w:t>
      </w:r>
    </w:p>
    <w:p>
      <w:pPr>
        <w:pStyle w:val="Heading2"/>
      </w:pPr>
      <w:r>
        <w:t>Populations served</w:t>
      </w:r>
    </w:p>
    <w:p>
      <w:pPr>
        <w:pStyle w:val="ListBullet"/>
      </w:pPr>
      <w:r>
        <w:t>Nonprofit staff, executive directors, and board members</w:t>
      </w:r>
    </w:p>
    <w:p>
      <w:pPr>
        <w:pStyle w:val="ListBullet"/>
      </w:pPr>
      <w:r>
        <w:t>Communities served by small and mid-sized nonprofits</w:t>
      </w:r>
    </w:p>
    <w:p>
      <w:pPr>
        <w:pStyle w:val="Heading1"/>
      </w:pPr>
      <w:r>
        <w:t>Eligibility</w:t>
      </w:r>
    </w:p>
    <w:p>
      <w:pPr>
        <w:pStyle w:val="Heading2"/>
      </w:pPr>
      <w:r>
        <w:t>Geographic eligibility</w:t>
      </w:r>
    </w:p>
    <w:p>
      <w:r>
        <w:rPr>
          <w:i w:val="0"/>
        </w:rPr>
        <w:t>Organizations must be headquartered in Coconino, Yavapai, Navajo, or Apache counties.</w:t>
      </w:r>
    </w:p>
    <w:p>
      <w:pPr>
        <w:pStyle w:val="Heading2"/>
      </w:pPr>
      <w:r>
        <w:t>Who may apply</w:t>
      </w:r>
    </w:p>
    <w:p>
      <w:pPr>
        <w:pStyle w:val="ListBullet"/>
      </w:pPr>
      <w:r>
        <w:t>Tax-exempt under Section 501(c)(3), or a tribal nonprofit program</w:t>
      </w:r>
    </w:p>
    <w:p>
      <w:pPr>
        <w:pStyle w:val="ListBullet"/>
      </w:pPr>
      <w:r>
        <w:t>Headquartered in Coconino, Yavapai, Navajo, or Apache counties</w:t>
      </w:r>
    </w:p>
    <w:p>
      <w:pPr>
        <w:pStyle w:val="ListBullet"/>
      </w:pPr>
      <w:r>
        <w:t>Annual operating budget between $50,000 and $2 million</w:t>
      </w:r>
    </w:p>
    <w:p>
      <w:pPr>
        <w:pStyle w:val="ListBullet"/>
      </w:pPr>
      <w:r>
        <w:t>At least one paid staff member or a full-time volunteer executive</w:t>
      </w:r>
    </w:p>
    <w:p>
      <w:pPr>
        <w:pStyle w:val="ListBullet"/>
      </w:pPr>
      <w:r>
        <w:t>Executive director and board chair commit to participating in the peer learning cohort</w:t>
      </w:r>
    </w:p>
    <w:p>
      <w:pPr>
        <w:pStyle w:val="Heading2"/>
      </w:pPr>
      <w:r>
        <w:t>What we do not fund</w:t>
      </w:r>
    </w:p>
    <w:p>
      <w:pPr>
        <w:pStyle w:val="ListBullet"/>
      </w:pPr>
      <w:r>
        <w:t>Ongoing program or operating costs</w:t>
      </w:r>
    </w:p>
    <w:p>
      <w:pPr>
        <w:pStyle w:val="ListBullet"/>
      </w:pPr>
      <w:r>
        <w:t>Fiscally sponsored projects</w:t>
      </w:r>
    </w:p>
    <w:p>
      <w:pPr>
        <w:pStyle w:val="ListBullet"/>
      </w:pPr>
      <w:r>
        <w:t>Capital equipment unrelated to the capacity project</w:t>
      </w:r>
    </w:p>
    <w:p>
      <w:pPr>
        <w:pStyle w:val="ListBullet"/>
      </w:pPr>
      <w:r>
        <w:t>Organizations that received a Stronger Nonprofits Capacity Grant in 2025 or 2026</w:t>
      </w:r>
    </w:p>
    <w:p>
      <w:pPr>
        <w:pStyle w:val="Heading1"/>
      </w:pPr>
      <w:r>
        <w:t>Funding</w:t>
      </w:r>
    </w:p>
    <w:p>
      <w:r>
        <w:rPr>
          <w:i w:val="0"/>
        </w:rPr>
        <w:t>$5,000 to $20,000. Capacity-building project support.</w:t>
      </w:r>
    </w:p>
    <w:p>
      <w:pPr>
        <w:pStyle w:val="Heading1"/>
      </w:pPr>
      <w:r>
        <w:t>Key dates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rPr>
          <w:tblHeader w:val="true"/>
        </w:trPr>
        <w:tc>
          <w:tcPr>
            <w:tcW w:type="dxa" w:w="3456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Milestone</w:t>
            </w:r>
          </w:p>
        </w:tc>
        <w:tc>
          <w:tcPr>
            <w:tcW w:type="dxa" w:w="6192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3456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Application period opens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sz w:val="19"/>
              </w:rPr>
              <w:t>Thursday, October 1, 2026</w:t>
            </w:r>
          </w:p>
        </w:tc>
      </w:tr>
      <w:tr>
        <w:tc>
          <w:tcPr>
            <w:tcW w:type="dxa" w:w="3456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Letter of inquiry deadline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sz w:val="19"/>
              </w:rPr>
              <w:t>Friday, November 13, 2026, 5:00 p.m. MST</w:t>
            </w:r>
          </w:p>
        </w:tc>
      </w:tr>
      <w:tr>
        <w:tc>
          <w:tcPr>
            <w:tcW w:type="dxa" w:w="3456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Invitations to submit a full application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sz w:val="19"/>
              </w:rPr>
              <w:t>Sent by December 4, 2026</w:t>
            </w:r>
          </w:p>
        </w:tc>
      </w:tr>
      <w:tr>
        <w:tc>
          <w:tcPr>
            <w:tcW w:type="dxa" w:w="3456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Full application deadline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sz w:val="19"/>
              </w:rPr>
              <w:t>Friday, January 22, 2027, 5:00 p.m. MST</w:t>
            </w:r>
          </w:p>
        </w:tc>
      </w:tr>
      <w:tr>
        <w:tc>
          <w:tcPr>
            <w:tcW w:type="dxa" w:w="3456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Decision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sz w:val="19"/>
              </w:rPr>
              <w:t>Award decisions announced by February 19, 2027</w:t>
            </w:r>
          </w:p>
        </w:tc>
      </w:tr>
      <w:tr>
        <w:tc>
          <w:tcPr>
            <w:tcW w:type="dxa" w:w="3456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Grant period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sz w:val="19"/>
              </w:rPr>
              <w:t>March 1, 2027 – February 29, 2028</w:t>
            </w:r>
          </w:p>
        </w:tc>
      </w:tr>
    </w:tbl>
    <w:p>
      <w:pPr>
        <w:spacing w:after="40"/>
      </w:pPr>
    </w:p>
    <w:p>
      <w:pPr>
        <w:pStyle w:val="Heading1"/>
      </w:pPr>
      <w:r>
        <w:t>How to apply</w:t>
      </w:r>
    </w:p>
    <w:p>
      <w:r>
        <w:rPr>
          <w:i w:val="0"/>
        </w:rPr>
        <w:t>Capacity grants use a two-stage process. Completing the Capacity Readiness Self-Assessment before submitting a letter of inquiry is required.</w:t>
      </w:r>
    </w:p>
    <w:p>
      <w:pPr>
        <w:spacing w:after="80"/>
        <w:ind w:left="432" w:hanging="360"/>
      </w:pPr>
      <w:r>
        <w:rPr>
          <w:b/>
        </w:rPr>
        <w:t xml:space="preserve">1.  Assess readiness. </w:t>
      </w:r>
      <w:r>
        <w:t>Complete the Capacity Readiness Self-Assessment with your board chair. Attach it to your letter of inquiry.</w:t>
      </w:r>
    </w:p>
    <w:p>
      <w:pPr>
        <w:spacing w:after="80"/>
        <w:ind w:left="432" w:hanging="360"/>
      </w:pPr>
      <w:r>
        <w:rPr>
          <w:b/>
        </w:rPr>
        <w:t xml:space="preserve">2.  Submit a letter of inquiry. </w:t>
      </w:r>
      <w:r>
        <w:t>Complete the Letter of Inquiry Template and email it with the self-assessment to learning@cinderpeakscf.org by 5:00 p.m. MST on November 13, 2026.</w:t>
      </w:r>
    </w:p>
    <w:p>
      <w:pPr>
        <w:spacing w:after="80"/>
        <w:ind w:left="432" w:hanging="360"/>
      </w:pPr>
      <w:r>
        <w:rPr>
          <w:b/>
        </w:rPr>
        <w:t xml:space="preserve">3.  Planning conversation. </w:t>
      </w:r>
      <w:r>
        <w:t>Invited applicants meet with the Nonprofit Learning Coordinator to refine the project scope. Invitations are sent by December 4, 2026.</w:t>
      </w:r>
    </w:p>
    <w:p>
      <w:pPr>
        <w:spacing w:after="80"/>
        <w:ind w:left="432" w:hanging="360"/>
      </w:pPr>
      <w:r>
        <w:rPr>
          <w:b/>
        </w:rPr>
        <w:t xml:space="preserve">4.  Submit the full application. </w:t>
      </w:r>
      <w:r>
        <w:t>Submit the full application, Grant Project Budget Template, and any consultant proposal in the CPCF Grant Portal by 5:00 p.m. MST on January 22, 2027.</w:t>
      </w:r>
    </w:p>
    <w:p>
      <w:pPr>
        <w:spacing w:after="80"/>
        <w:ind w:left="432" w:hanging="360"/>
      </w:pPr>
      <w:r>
        <w:rPr>
          <w:b/>
        </w:rPr>
        <w:t xml:space="preserve">5.  Decision and cohort launch. </w:t>
      </w:r>
      <w:r>
        <w:t>Awards are announced by February 19, 2027. The first cohort session takes place in March 2027.</w:t>
      </w:r>
    </w:p>
    <w:p>
      <w:pPr>
        <w:pStyle w:val="Heading1"/>
      </w:pPr>
      <w:r>
        <w:t>Review criteria</w:t>
      </w:r>
    </w:p>
    <w:p>
      <w:pPr>
        <w:pStyle w:val="ListBullet"/>
      </w:pPr>
      <w:r>
        <w:t>The project addresses a clearly identified organizational need</w:t>
      </w:r>
    </w:p>
    <w:p>
      <w:pPr>
        <w:pStyle w:val="ListBullet"/>
      </w:pPr>
      <w:r>
        <w:t>Leadership and board commitment</w:t>
      </w:r>
    </w:p>
    <w:p>
      <w:pPr>
        <w:pStyle w:val="ListBullet"/>
      </w:pPr>
      <w:r>
        <w:t>Realistic scope, timeline, and budget</w:t>
      </w:r>
    </w:p>
    <w:p>
      <w:pPr>
        <w:pStyle w:val="ListBullet"/>
      </w:pPr>
      <w:r>
        <w:t>Potential to strengthen the organization's long-term sustainability</w:t>
      </w:r>
    </w:p>
    <w:p>
      <w:pPr>
        <w:pStyle w:val="Heading1"/>
      </w:pPr>
      <w:r>
        <w:t>Reporting requirements</w:t>
      </w:r>
    </w:p>
    <w:p>
      <w:r>
        <w:rPr>
          <w:i w:val="0"/>
        </w:rPr>
        <w:t>Grantees submit a mid-year progress report and a final grant report, and participate in all four cohort sessions.</w:t>
      </w:r>
    </w:p>
    <w:p>
      <w:pPr>
        <w:pStyle w:val="ListBullet"/>
      </w:pPr>
      <w:r>
        <w:t>Progress on project milestones</w:t>
      </w:r>
    </w:p>
    <w:p>
      <w:pPr>
        <w:pStyle w:val="ListBullet"/>
      </w:pPr>
      <w:r>
        <w:t>Changes in organizational practice resulting from the project</w:t>
      </w:r>
    </w:p>
    <w:p>
      <w:pPr>
        <w:pStyle w:val="ListBullet"/>
      </w:pPr>
      <w:r>
        <w:t>Budget-to-actual expenses and consultant deliverables</w:t>
      </w:r>
    </w:p>
    <w:p>
      <w:r>
        <w:rPr>
          <w:b/>
        </w:rPr>
        <w:t xml:space="preserve">Due: </w:t>
      </w:r>
      <w:r>
        <w:rPr>
          <w:i w:val="0"/>
        </w:rPr>
        <w:t>Interim report due September 15, 2027; final report due March 31, 2028.</w:t>
      </w:r>
    </w:p>
    <w:p>
      <w:pPr>
        <w:pStyle w:val="Heading1"/>
      </w:pPr>
      <w:r>
        <w:t>Templates and supporting documents</w:t>
      </w:r>
    </w:p>
    <w:p>
      <w:pPr>
        <w:pStyle w:val="ListBullet"/>
      </w:pPr>
      <w:r>
        <w:rPr>
          <w:b/>
        </w:rPr>
        <w:t xml:space="preserve">Letter of Inquiry Template: </w:t>
      </w:r>
      <w:r>
        <w:t>https://example.github.io/cinder-peaks-community-foundation/documents/templates/cpcf-letter-of-inquiry-template.pdf</w:t>
      </w:r>
    </w:p>
    <w:p>
      <w:pPr>
        <w:pStyle w:val="ListBullet"/>
      </w:pPr>
      <w:r>
        <w:rPr>
          <w:b/>
        </w:rPr>
        <w:t xml:space="preserve">Capacity Readiness Self-Assessment: </w:t>
      </w:r>
      <w:r>
        <w:t>https://example.github.io/cinder-peaks-community-foundation/documents/templates/cpcf-capacity-readiness-self-assessment.pdf</w:t>
      </w:r>
    </w:p>
    <w:p>
      <w:pPr>
        <w:pStyle w:val="ListBullet"/>
      </w:pPr>
      <w:r>
        <w:rPr>
          <w:b/>
        </w:rPr>
        <w:t xml:space="preserve">Grant Project Budget Template: </w:t>
      </w:r>
      <w:r>
        <w:t>https://example.github.io/cinder-peaks-community-foundation/documents/templates/cpcf-grant-project-budget-template.pdf</w:t>
      </w:r>
    </w:p>
    <w:p>
      <w:pPr>
        <w:pStyle w:val="ListBullet"/>
      </w:pPr>
      <w:r>
        <w:rPr>
          <w:b/>
        </w:rPr>
        <w:t xml:space="preserve">Interim Progress Report Form: </w:t>
      </w:r>
      <w:r>
        <w:t>https://example.github.io/cinder-peaks-community-foundation/documents/reporting/cpcf-interim-progress-report-form.pdf</w:t>
      </w:r>
    </w:p>
    <w:p>
      <w:pPr>
        <w:pStyle w:val="ListBullet"/>
      </w:pPr>
      <w:r>
        <w:rPr>
          <w:b/>
        </w:rPr>
        <w:t xml:space="preserve">Final Grant Report Form: </w:t>
      </w:r>
      <w:r>
        <w:t>https://example.github.io/cinder-peaks-community-foundation/documents/reporting/cpcf-final-grant-report-form.pdf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8EFEC"/>
          </w:tcPr>
          <w:p>
            <w:r>
              <w:rPr>
                <w:b/>
                <w:color w:val="2F5D50"/>
              </w:rPr>
              <w:t>Questions?</w:t>
            </w:r>
          </w:p>
          <w:p>
            <w:r>
              <w:t>Wren Castellano, Nonprofit Learning Coordinator</w:t>
            </w:r>
          </w:p>
          <w:p>
            <w:r>
              <w:t>Email: wcastellano@cinderpeakscf.org   ·   Phone: (928) 555-0147 ext. 124</w:t>
            </w:r>
          </w:p>
          <w:p>
            <w:r>
              <w:t>Cinder Peaks Community Foundation, 1120 N. Cinder Basin Road, Suite 200, Flagstaff, AZ 86001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6E"/>
        <w:sz w:val="15"/>
      </w:rPr>
      <w:t>Cinder Peaks Community Foundation  ·  1120 N. Cinder Basin Road, Suite 200, Flagstaff, AZ 86001  ·  (928) 555-0147  ·  grants@cinderpeakscf.org</w:t>
    </w:r>
  </w:p>
  <w:p>
    <w:pPr>
      <w:jc w:val="center"/>
    </w:pPr>
    <w:r>
      <w:rPr>
        <w:sz w:val="15"/>
      </w:rPr>
      <w:t xml:space="preserve">Page </w:t>
    </w:r>
    <w:r>
      <w:rPr>
        <w:sz w:val="15"/>
      </w:rPr>
      <w:fldChar w:fldCharType="begin"/>
      <w:instrText xml:space="preserve">PAGE</w:instrText>
      <w:fldChar w:fldCharType="end"/>
    </w:r>
    <w:r>
      <w:rPr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end"/>
    </w:r>
    <w:r>
      <w:rPr>
        <w:color w:val="5F6B6E"/>
        <w:sz w:val="13"/>
      </w:rPr>
      <w:t xml:space="preserve">   ·   A fictional organization created for website demonstration and testing.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drawing>
        <wp:inline xmlns:a="http://schemas.openxmlformats.org/drawingml/2006/main" xmlns:pic="http://schemas.openxmlformats.org/drawingml/2006/picture">
          <wp:extent cx="1395374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doc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95374" cy="384048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5F6B6E"/>
        <w:sz w:val="16"/>
      </w:rPr>
      <w:tab/>
      <w:tab/>
      <w:t>REQUEST FOR PROPOSALS</w:t>
    </w:r>
  </w:p>
  <w:p>
    <w:pPr>
      <w:pBdr>
        <w:bottom w:val="single" w:sz="8" w:space="1" w:color="A8432A"/>
      </w:pBd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cs="Calibri" w:eastAsia="Calibri"/>
      <w:color w:val="1F2A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color w:val="A843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color w:val="2F5D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1F2A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 w:cs="Cambria" w:eastAsia="Cambria"/>
      <w:b/>
      <w:color w:val="1F2A2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cs="Calibri" w:eastAsia="Calibri"/>
      <w:color w:val="1F2A2E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cs="Calibri" w:eastAsia="Calibri"/>
      <w:color w:val="1F2A2E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Stronger Nonprofits Capacity Grants: 2027 Request for Proposals</dc:title>
  <dc:subject>Request for Proposals</dc:subject>
  <dc:creator>Cinder Peaks Community Foundation</dc:creator>
  <cp:keywords>Cinder Peaks Community Foundation; grants; northern Arizona</cp:keywords>
  <dc:description>Site Version 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