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NONPROFIT LEARNING HUB</w:t>
      </w:r>
    </w:p>
    <w:p>
      <w:pPr>
        <w:pStyle w:val="Title"/>
        <w:spacing w:after="80"/>
      </w:pPr>
      <w:r>
        <w:t>Grant Writing Fundamentals: A Guide for Northern Arizona Nonprofits</w:t>
      </w:r>
    </w:p>
    <w:p>
      <w:r>
        <w:rPr>
          <w:i/>
          <w:color w:val="5F6B6E"/>
          <w:sz w:val="22"/>
        </w:rPr>
        <w:t>A practical guide from the Cinder Peaks Nonprofit Learning Hub</w:t>
      </w:r>
    </w:p>
    <w:p>
      <w:pPr>
        <w:pStyle w:val="Heading1"/>
      </w:pPr>
      <w:r>
        <w:t>1. Start with fit</w:t>
      </w:r>
    </w:p>
    <w:p>
      <w:pPr>
        <w:pStyle w:val="ListBullet"/>
      </w:pPr>
      <w:r>
        <w:t>Read the full guidelines or RFP before writing anything. Highlight the funder's priorities, geographic limits, and what it does not fund.</w:t>
      </w:r>
    </w:p>
    <w:p>
      <w:pPr>
        <w:pStyle w:val="ListBullet"/>
      </w:pPr>
      <w:r>
        <w:t>Call the program officer. A ten-minute conversation can save you twenty hours of writing.</w:t>
      </w:r>
    </w:p>
    <w:p>
      <w:pPr>
        <w:pStyle w:val="ListBullet"/>
      </w:pPr>
      <w:r>
        <w:t>Check the deadline time zone. Arizona does not observe daylight saving time, so Arizona deadlines are always Mountain Standard Time.</w:t>
      </w:r>
    </w:p>
    <w:p>
      <w:pPr>
        <w:pStyle w:val="Heading1"/>
      </w:pPr>
      <w:r>
        <w:t>2. Describe the need clearly</w:t>
      </w:r>
    </w:p>
    <w:p>
      <w:pPr>
        <w:pStyle w:val="ListBullet"/>
      </w:pPr>
      <w:r>
        <w:t>Use one or two local statistics, not ten. County-level data is usually more persuasive than national data.</w:t>
      </w:r>
    </w:p>
    <w:p>
      <w:pPr>
        <w:pStyle w:val="ListBullet"/>
      </w:pPr>
      <w:r>
        <w:t>Include the voices of the people you serve, with their permission.</w:t>
      </w:r>
    </w:p>
    <w:p>
      <w:pPr>
        <w:pStyle w:val="ListBullet"/>
      </w:pPr>
      <w:r>
        <w:t>Explain why your organization is well positioned to respond.</w:t>
      </w:r>
    </w:p>
    <w:p>
      <w:pPr>
        <w:pStyle w:val="Heading1"/>
      </w:pPr>
      <w:r>
        <w:t>3. Describe your approach</w:t>
      </w:r>
    </w:p>
    <w:p>
      <w:pPr>
        <w:pStyle w:val="ListBullet"/>
      </w:pPr>
      <w:r>
        <w:t>Say what you will do, who will do it, when, and for whom.</w:t>
      </w:r>
    </w:p>
    <w:p>
      <w:pPr>
        <w:pStyle w:val="ListBullet"/>
      </w:pPr>
      <w:r>
        <w:t>Connect each activity to a result you expect to see.</w:t>
      </w:r>
    </w:p>
    <w:p>
      <w:pPr>
        <w:pStyle w:val="ListBullet"/>
      </w:pPr>
      <w:r>
        <w:t>Name your partners and describe what each will contribute.</w:t>
      </w:r>
    </w:p>
    <w:p>
      <w:pPr>
        <w:pStyle w:val="Heading1"/>
      </w:pPr>
      <w:r>
        <w:t>4. Build a realistic budget</w:t>
      </w:r>
    </w:p>
    <w:p>
      <w:pPr>
        <w:pStyle w:val="ListBullet"/>
      </w:pPr>
      <w:r>
        <w:t>Every number in the narrative should match the budget.</w:t>
      </w:r>
    </w:p>
    <w:p>
      <w:pPr>
        <w:pStyle w:val="ListBullet"/>
      </w:pPr>
      <w:r>
        <w:t>Include the full cost of the work, including staff time and a fair share of overhead.</w:t>
      </w:r>
    </w:p>
    <w:p>
      <w:pPr>
        <w:pStyle w:val="ListBullet"/>
      </w:pPr>
      <w:r>
        <w:t>Show other sources of support, confirmed and pending.</w:t>
      </w:r>
    </w:p>
    <w:p>
      <w:pPr>
        <w:pStyle w:val="Heading1"/>
      </w:pPr>
      <w:r>
        <w:t>5. Plan to measure results</w:t>
      </w:r>
    </w:p>
    <w:p>
      <w:pPr>
        <w:pStyle w:val="ListBullet"/>
      </w:pPr>
      <w:r>
        <w:t>Choose two or three measures you can realistically track.</w:t>
      </w:r>
    </w:p>
    <w:p>
      <w:pPr>
        <w:pStyle w:val="ListBullet"/>
      </w:pPr>
      <w:r>
        <w:t>Collect stories as well as numbers.</w:t>
      </w:r>
    </w:p>
    <w:p>
      <w:pPr>
        <w:pStyle w:val="ListBullet"/>
      </w:pPr>
      <w:r>
        <w:t>Report honestly on what did not work. Funders value learning.</w:t>
      </w:r>
    </w:p>
    <w:p>
      <w:pPr>
        <w:pStyle w:val="Heading1"/>
      </w:pPr>
      <w:r>
        <w:t>6. After you submit</w:t>
      </w:r>
    </w:p>
    <w:p>
      <w:pPr>
        <w:pStyle w:val="ListBullet"/>
      </w:pPr>
      <w:r>
        <w:t>Send a short thank-you note whether or not the grant is awarded.</w:t>
      </w:r>
    </w:p>
    <w:p>
      <w:pPr>
        <w:pStyle w:val="ListBullet"/>
      </w:pPr>
      <w:r>
        <w:t>If you are declined, ask for feedback.</w:t>
      </w:r>
    </w:p>
    <w:p>
      <w:pPr>
        <w:pStyle w:val="ListBullet"/>
      </w:pPr>
      <w:r>
        <w:t>Put reporting due dates on your calendar as soon as you receive an award letter.</w:t>
      </w:r>
    </w:p>
    <w:p>
      <w:pPr>
        <w:pStyle w:val="Heading1"/>
      </w:pPr>
      <w:r>
        <w:t>Common reasons applications are declined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432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Reason</w:t>
            </w:r>
          </w:p>
        </w:tc>
        <w:tc>
          <w:tcPr>
            <w:tcW w:type="dxa" w:w="5328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How to avoid it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The request does not fit the program's priorities</w:t>
            </w:r>
          </w:p>
        </w:tc>
        <w:tc>
          <w:tcPr>
            <w:tcW w:type="dxa" w:w="5328"/>
          </w:tcPr>
          <w:p>
            <w:pPr>
              <w:spacing w:after="40"/>
            </w:pPr>
            <w:r/>
            <w:r>
              <w:rPr>
                <w:sz w:val="19"/>
              </w:rPr>
              <w:t>Re-read the guidelines and call the program officer before applying.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The budget and narrative do not match</w:t>
            </w:r>
          </w:p>
        </w:tc>
        <w:tc>
          <w:tcPr>
            <w:tcW w:type="dxa" w:w="5328"/>
          </w:tcPr>
          <w:p>
            <w:pPr>
              <w:spacing w:after="40"/>
            </w:pPr>
            <w:r/>
            <w:r>
              <w:rPr>
                <w:sz w:val="19"/>
              </w:rPr>
              <w:t>Have a colleague compare the two documents line by line.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The applicant is outside the eligible geography</w:t>
            </w:r>
          </w:p>
        </w:tc>
        <w:tc>
          <w:tcPr>
            <w:tcW w:type="dxa" w:w="5328"/>
          </w:tcPr>
          <w:p>
            <w:pPr>
              <w:spacing w:after="40"/>
            </w:pPr>
            <w:r/>
            <w:r>
              <w:rPr>
                <w:sz w:val="19"/>
              </w:rPr>
              <w:t>Check the county list carefully, including where participants live.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19"/>
              </w:rPr>
              <w:t>The application is incomplete</w:t>
            </w:r>
          </w:p>
        </w:tc>
        <w:tc>
          <w:tcPr>
            <w:tcW w:type="dxa" w:w="5328"/>
          </w:tcPr>
          <w:p>
            <w:pPr>
              <w:spacing w:after="40"/>
            </w:pPr>
            <w:r/>
            <w:r>
              <w:rPr>
                <w:sz w:val="19"/>
              </w:rPr>
              <w:t>Use the attachment checklist in the application worksheet.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8EFEC"/>
          </w:tcPr>
          <w:p>
            <w:r>
              <w:rPr>
                <w:b/>
                <w:color w:val="2F5D50"/>
              </w:rPr>
              <w:t>Questions?</w:t>
            </w:r>
          </w:p>
          <w:p>
            <w:r>
              <w:t>Wren Castellano, Nonprofit Learning Coordinator</w:t>
            </w:r>
          </w:p>
          <w:p>
            <w:r>
              <w:t>Email: wcastellano@cinderpeakscf.org   ·   Phone: (928) 555-0147 ext. 124</w:t>
            </w:r>
          </w:p>
          <w:p>
            <w:r>
              <w:t>Cinder Peaks Community Foundation, 1120 N. Cinder Basin Road, Suite 200, Flagstaff, AZ 86001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NONPROFIT LEARNING HUB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Grant Writing Fundamentals: A Guide for Northern Arizona Nonprofits</dc:title>
  <dc:subject>Nonprofit Learning Hub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