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FINANCIAL REPORT</w:t>
      </w:r>
    </w:p>
    <w:p>
      <w:pPr>
        <w:pStyle w:val="Title"/>
        <w:spacing w:after="80"/>
      </w:pPr>
      <w:r>
        <w:t>Financial Summary, Fiscal Year 2025</w:t>
      </w:r>
    </w:p>
    <w:p>
      <w:r>
        <w:rPr>
          <w:i/>
          <w:color w:val="5F6B6E"/>
          <w:sz w:val="22"/>
        </w:rPr>
        <w:t>Fiscal year ended December 31, 2025</w:t>
      </w:r>
    </w:p>
    <w:p>
      <w:r>
        <w:rPr>
          <w:i/>
          <w:color w:val="5F6B6E"/>
          <w:sz w:val="19"/>
        </w:rPr>
        <w:t>This summary is derived from the Foundation's audited financial statements for the year ended December 31, 2025. The complete audited statements are available on request from the Chief Financial Officer.</w:t>
      </w:r>
    </w:p>
    <w:p>
      <w:pPr>
        <w:pStyle w:val="Heading1"/>
      </w:pPr>
      <w:r>
        <w:t>Statement of financial position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60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Assets</w:t>
            </w:r>
          </w:p>
        </w:tc>
        <w:tc>
          <w:tcPr>
            <w:tcW w:type="dxa" w:w="36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December 31, 2025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Cash and cash equivalents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$4,100,000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Investments, at fair value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$160,900,000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Split-interest agreements and other assets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$2,600,000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Property and equipment, net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$800,000</w:t>
            </w:r>
          </w:p>
        </w:tc>
      </w:tr>
      <w:tr>
        <w:tc>
          <w:tcPr>
            <w:tcW w:type="dxa" w:w="6048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assets</w:t>
            </w:r>
          </w:p>
        </w:tc>
        <w:tc>
          <w:tcPr>
            <w:tcW w:type="dxa" w:w="360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$168,400,000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60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Liabilities</w:t>
            </w:r>
          </w:p>
        </w:tc>
        <w:tc>
          <w:tcPr>
            <w:tcW w:type="dxa" w:w="36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December 31, 2025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Grants payable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$1,900,000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Agency endowment funds held for nonprofits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$9,600,000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Accounts payable and other liabilities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$400,000</w:t>
            </w:r>
          </w:p>
        </w:tc>
      </w:tr>
      <w:tr>
        <w:tc>
          <w:tcPr>
            <w:tcW w:type="dxa" w:w="6048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liabilities</w:t>
            </w:r>
          </w:p>
        </w:tc>
        <w:tc>
          <w:tcPr>
            <w:tcW w:type="dxa" w:w="360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$11,900,000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60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Net assets</w:t>
            </w:r>
          </w:p>
        </w:tc>
        <w:tc>
          <w:tcPr>
            <w:tcW w:type="dxa" w:w="36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December 31, 2025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Without donor restrictions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$121,300,000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With donor restrictions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$35,200,000</w:t>
            </w:r>
          </w:p>
        </w:tc>
      </w:tr>
      <w:tr>
        <w:tc>
          <w:tcPr>
            <w:tcW w:type="dxa" w:w="6048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net assets</w:t>
            </w:r>
          </w:p>
        </w:tc>
        <w:tc>
          <w:tcPr>
            <w:tcW w:type="dxa" w:w="360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$156,500,000</w:t>
            </w:r>
          </w:p>
        </w:tc>
      </w:tr>
    </w:tbl>
    <w:p>
      <w:pPr>
        <w:spacing w:after="40"/>
      </w:pPr>
    </w:p>
    <w:p>
      <w:pPr>
        <w:pStyle w:val="Heading1"/>
      </w:pPr>
      <w:r>
        <w:t>Statement of activities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60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6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2025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Contributions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$14,200,000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Investment return, net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$16,800,000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Fees and other income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$300,000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revenue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$31,300,000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$7,846,000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Program services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$1,120,000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Management and general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$940,000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Fundraising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$610,000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expenses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$10,516,000</w:t>
            </w:r>
          </w:p>
        </w:tc>
      </w:tr>
      <w:tr>
        <w:tc>
          <w:tcPr>
            <w:tcW w:type="dxa" w:w="604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Change in net assets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$20,784,000</w:t>
            </w:r>
          </w:p>
        </w:tc>
      </w:tr>
    </w:tbl>
    <w:p>
      <w:pPr>
        <w:spacing w:after="40"/>
      </w:pPr>
    </w:p>
    <w:p>
      <w:pPr>
        <w:pStyle w:val="Heading1"/>
      </w:pPr>
      <w:r>
        <w:t>Funds by type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604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Fund type</w:t>
            </w:r>
          </w:p>
        </w:tc>
        <w:tc>
          <w:tcPr>
            <w:tcW w:type="dxa" w:w="36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Number of funds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Donor-advised funds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142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Designated funds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51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Scholarship funds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44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Field-of-interest funds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38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Agency endowment funds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29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/>
            <w:r>
              <w:rPr>
                <w:sz w:val="19"/>
              </w:rPr>
              <w:t>Unrestricted community funds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6048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360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310</w:t>
            </w:r>
          </w:p>
        </w:tc>
      </w:tr>
    </w:tbl>
    <w:p>
      <w:pPr>
        <w:spacing w:after="40"/>
      </w:pPr>
    </w:p>
    <w:p>
      <w:pPr>
        <w:pStyle w:val="Heading1"/>
      </w:pPr>
      <w:r>
        <w:t>Investment and spending policy</w:t>
      </w:r>
    </w:p>
    <w:p>
      <w:r>
        <w:rPr>
          <w:i w:val="0"/>
        </w:rPr>
        <w:t>Endowed funds are invested in a diversified long-term pool overseen by the Finance &amp; Investment Committee. The annual spending rate is 4.5 percent of each fund's average market value over the previous 16 quarters, which balances current grantmaking with long-term growth. The Foundation's administrative fee ranges from 0.5 to 1.5 percent depending on fund type and size.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Corinne Abernathy, CPA, Chief Financial Officer</w:t>
            </w:r>
          </w:p>
          <w:p>
            <w:r>
              <w:t>Email: cabernathy@cinderpeakscf.org   ·   Phone: (928) 555-0147 ext. 105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FINANCIAL REPORT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Summary, Fiscal Year 2025</dc:title>
  <dc:subject>Financial Report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