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TEMPLATE</w:t>
      </w:r>
    </w:p>
    <w:p>
      <w:pPr>
        <w:pStyle w:val="Title"/>
        <w:spacing w:after="80"/>
      </w:pPr>
      <w:r>
        <w:t>Capacity Readiness Self-Assessment</w:t>
      </w:r>
    </w:p>
    <w:p>
      <w:r>
        <w:rPr>
          <w:i/>
          <w:color w:val="5F6B6E"/>
          <w:sz w:val="22"/>
        </w:rPr>
        <w:t>Complete with your board chair and attach to your Stronger Nonprofits Capacity Grants letter of inquiry.</w:t>
      </w:r>
    </w:p>
    <w:p>
      <w:r>
        <w:rPr>
          <w:i/>
          <w:color w:val="5F6B6E"/>
          <w:sz w:val="19"/>
        </w:rPr>
        <w:t>Rate each statement from 1 (not yet in place) to 4 (fully in place). There are no right answers. The assessment helps us understand where a capacity grant would make the biggest difference.</w:t>
      </w:r>
    </w:p>
    <w:p>
      <w:pPr>
        <w:pStyle w:val="Heading2"/>
      </w:pPr>
      <w:r>
        <w:t>Mission and planning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72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24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Rating (circle one)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Our mission statement is current and guides decisions.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We have a written strategic plan updated within the last three years.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Staff and board share clear annual goals.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</w:tbl>
    <w:p>
      <w:pPr>
        <w:spacing w:after="40"/>
      </w:pPr>
    </w:p>
    <w:p>
      <w:pPr>
        <w:pStyle w:val="Heading2"/>
      </w:pPr>
      <w:r>
        <w:t>Board governance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72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24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Rating (circle one)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The board meets at least quarterly with a quorum.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Board members understand their legal and fiduciary duties.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We have conflict of interest, whistleblower, and document retention policies.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</w:tbl>
    <w:p>
      <w:pPr>
        <w:spacing w:after="40"/>
      </w:pPr>
    </w:p>
    <w:p>
      <w:pPr>
        <w:pStyle w:val="Heading2"/>
      </w:pPr>
      <w:r>
        <w:t>Financial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72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24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Rating (circle one)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Monthly financial statements are reviewed by the board treasurer or finance committee.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We have at least three months of operating reserves.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Internal controls separate approval and payment of expenses.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</w:tbl>
    <w:p>
      <w:pPr>
        <w:spacing w:after="40"/>
      </w:pPr>
    </w:p>
    <w:p>
      <w:pPr>
        <w:pStyle w:val="Heading2"/>
      </w:pPr>
      <w:r>
        <w:t>Fund development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72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24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Rating (circle one)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We have a written annual fundraising plan.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No single funding source provides more than 40% of revenue.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We track donors and gifts in a database.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</w:tbl>
    <w:p>
      <w:pPr>
        <w:spacing w:after="40"/>
      </w:pPr>
    </w:p>
    <w:p>
      <w:pPr>
        <w:pStyle w:val="Heading2"/>
      </w:pPr>
      <w:r>
        <w:t>Technology and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72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24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Rating (circle one)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Staff have the hardware and software they need.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We back up data and protect it with multifactor authentication.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We use data to measure program results.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</w:tbl>
    <w:p>
      <w:pPr>
        <w:spacing w:after="40"/>
      </w:pPr>
    </w:p>
    <w:p>
      <w:pPr>
        <w:pStyle w:val="Heading2"/>
      </w:pPr>
      <w:r>
        <w:t>Leadership and staffing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72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24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Rating (circle one)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Key roles have written job descriptions.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We have an emergency succession plan for the executive director.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9"/>
              </w:rPr>
              <w:t>Staff receive regular professional development.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1   2   3   4</w:t>
            </w:r>
          </w:p>
        </w:tc>
      </w:tr>
    </w:tbl>
    <w:p>
      <w:pPr>
        <w:spacing w:after="40"/>
      </w:pPr>
    </w:p>
    <w:p>
      <w:pPr>
        <w:pStyle w:val="Heading1"/>
      </w:pPr>
      <w:r>
        <w:t>Reflection</w:t>
      </w:r>
    </w:p>
    <w:p>
      <w:pPr>
        <w:keepNext/>
      </w:pPr>
      <w:r>
        <w:rPr>
          <w:b/>
        </w:rPr>
        <w:t>Which area would most benefit from a capacity-building project, and why?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Executive director name and signature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Board chair name and signature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TEMPLATE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 Readiness Self-Assessment</dc:title>
  <dc:subject>Application Template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