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A8432A"/>
          <w:sz w:val="18"/>
        </w:rPr>
        <w:t>ANNUAL REPORT</w:t>
      </w:r>
    </w:p>
    <w:p>
      <w:pPr>
        <w:pStyle w:val="Title"/>
        <w:spacing w:after="80"/>
      </w:pPr>
      <w:r>
        <w:t>2025 Annual Report</w:t>
      </w:r>
    </w:p>
    <w:p>
      <w:r>
        <w:rPr>
          <w:i/>
          <w:color w:val="5F6B6E"/>
          <w:sz w:val="22"/>
        </w:rPr>
        <w:t>January 1 – December 31, 2025</w:t>
      </w:r>
    </w:p>
    <w:p>
      <w:pPr>
        <w:pStyle w:val="Heading1"/>
      </w:pPr>
      <w:r>
        <w:t>A letter from our President and Board Chair</w:t>
      </w:r>
    </w:p>
    <w:p>
      <w:r>
        <w:rPr>
          <w:i w:val="0"/>
        </w:rPr>
        <w:t>Dear friends,</w:t>
      </w:r>
    </w:p>
    <w:p>
      <w:r>
        <w:rPr>
          <w:i w:val="0"/>
        </w:rPr>
        <w:t>In 2025, the people of northern Arizona showed again what generosity looks like at elevation. When post-fire floods reached homes in the Timberline area, neighbors arrived with shovels before the water had receded. When federal funding for rural child care faltered, 61 new donors joined the First Steps Infant &amp; Toddler Fund. And when our Plateau Indigenous Communities Fund advisory council asked for more resources for language revitalization, donors answered with the largest single year of gifts in the fund's history.</w:t>
      </w:r>
    </w:p>
    <w:p>
      <w:r>
        <w:rPr>
          <w:i w:val="0"/>
        </w:rPr>
        <w:t>Across all of our funds, the Foundation granted $7.85 million in 2025 to more than 600 nonprofits, schools, and tribal programs. Our assets grew to $168.4 million, and 22 families and businesses opened new charitable funds. Behind every number in this report is a person who chose to invest in this place for the long term.</w:t>
      </w:r>
    </w:p>
    <w:p>
      <w:r>
        <w:rPr>
          <w:i w:val="0"/>
        </w:rPr>
        <w:t>Thank you for being part of that choice.</w:t>
      </w:r>
    </w:p>
    <w:p>
      <w:r>
        <w:rPr>
          <w:i w:val="0"/>
        </w:rPr>
        <w:t>Renata Holloway, President &amp; CEO</w:t>
        <w:br/>
        <w:t>Gloria Atcitty, Chair, Board of Directors</w:t>
      </w:r>
    </w:p>
    <w:p>
      <w:pPr>
        <w:pStyle w:val="Heading1"/>
      </w:pPr>
      <w:r>
        <w:t>2025 at a glance</w:t>
      </w:r>
    </w:p>
    <w:tbl>
      <w:tblPr>
        <w:tblW w:type="auto" w:w="0"/>
        <w:jc w:val="center"/>
        <w:tblLook w:firstColumn="1" w:firstRow="1" w:lastColumn="0" w:lastRow="0" w:noHBand="0" w:noVBand="1" w:val="04A0"/>
        <w:tblBorders>
          <w:top w:val="single" w:sz="4" w:space="0" w:color="B9C4C0"/>
          <w:left w:val="single" w:sz="4" w:space="0" w:color="B9C4C0"/>
          <w:bottom w:val="single" w:sz="4" w:space="0" w:color="B9C4C0"/>
          <w:right w:val="single" w:sz="4" w:space="0" w:color="B9C4C0"/>
          <w:insideH w:val="single" w:sz="4" w:space="0" w:color="B9C4C0"/>
          <w:insideV w:val="single" w:sz="4" w:space="0" w:color="B9C4C0"/>
        </w:tblBorders>
      </w:tblPr>
      <w:tblGrid>
        <w:gridCol w:w="4824"/>
        <w:gridCol w:w="4824"/>
      </w:tblGrid>
      <w:tr>
        <w:trPr>
          <w:tblHeader w:val="true"/>
        </w:trPr>
        <w:tc>
          <w:tcPr>
            <w:tcW w:type="dxa" w:w="5760"/>
            <w:shd w:val="clear" w:color="auto" w:fill="2F5D50"/>
          </w:tcPr>
          <w:p>
            <w:r/>
            <w:r>
              <w:rPr>
                <w:b/>
                <w:color w:val="FFFFFF"/>
                <w:sz w:val="19"/>
              </w:rPr>
              <w:t>Measure</w:t>
            </w:r>
          </w:p>
        </w:tc>
        <w:tc>
          <w:tcPr>
            <w:tcW w:type="dxa" w:w="3888"/>
            <w:shd w:val="clear" w:color="auto" w:fill="2F5D50"/>
          </w:tcPr>
          <w:p>
            <w:r/>
            <w:r>
              <w:rPr>
                <w:b/>
                <w:color w:val="FFFFFF"/>
                <w:sz w:val="19"/>
              </w:rPr>
              <w:t>2025</w:t>
            </w:r>
          </w:p>
        </w:tc>
      </w:tr>
      <w:tr>
        <w:tc>
          <w:tcPr>
            <w:tcW w:type="dxa" w:w="5760"/>
            <w:shd w:val="clear" w:color="auto" w:fill="F4EEE4"/>
          </w:tcPr>
          <w:p>
            <w:pPr>
              <w:spacing w:after="40"/>
            </w:pPr>
            <w:r/>
            <w:r>
              <w:rPr>
                <w:b/>
                <w:sz w:val="19"/>
              </w:rPr>
              <w:t>Total grants paid</w:t>
            </w:r>
          </w:p>
        </w:tc>
        <w:tc>
          <w:tcPr>
            <w:tcW w:type="dxa" w:w="3888"/>
          </w:tcPr>
          <w:p>
            <w:pPr>
              <w:spacing w:after="40"/>
            </w:pPr>
            <w:r/>
            <w:r>
              <w:rPr>
                <w:sz w:val="19"/>
              </w:rPr>
              <w:t>$7,846,000</w:t>
            </w:r>
          </w:p>
        </w:tc>
      </w:tr>
      <w:tr>
        <w:tc>
          <w:tcPr>
            <w:tcW w:type="dxa" w:w="5760"/>
            <w:shd w:val="clear" w:color="auto" w:fill="F4EEE4"/>
          </w:tcPr>
          <w:p>
            <w:pPr>
              <w:spacing w:after="40"/>
            </w:pPr>
            <w:r/>
            <w:r>
              <w:rPr>
                <w:b/>
                <w:sz w:val="19"/>
              </w:rPr>
              <w:t>Organizations receiving grants</w:t>
            </w:r>
          </w:p>
        </w:tc>
        <w:tc>
          <w:tcPr>
            <w:tcW w:type="dxa" w:w="3888"/>
          </w:tcPr>
          <w:p>
            <w:pPr>
              <w:spacing w:after="40"/>
            </w:pPr>
            <w:r/>
            <w:r>
              <w:rPr>
                <w:sz w:val="19"/>
              </w:rPr>
              <w:t>614</w:t>
            </w:r>
          </w:p>
        </w:tc>
      </w:tr>
      <w:tr>
        <w:tc>
          <w:tcPr>
            <w:tcW w:type="dxa" w:w="5760"/>
            <w:shd w:val="clear" w:color="auto" w:fill="F4EEE4"/>
          </w:tcPr>
          <w:p>
            <w:pPr>
              <w:spacing w:after="40"/>
            </w:pPr>
            <w:r/>
            <w:r>
              <w:rPr>
                <w:b/>
                <w:sz w:val="19"/>
              </w:rPr>
              <w:t>Competitive grants awarded</w:t>
            </w:r>
          </w:p>
        </w:tc>
        <w:tc>
          <w:tcPr>
            <w:tcW w:type="dxa" w:w="3888"/>
          </w:tcPr>
          <w:p>
            <w:pPr>
              <w:spacing w:after="40"/>
            </w:pPr>
            <w:r/>
            <w:r>
              <w:rPr>
                <w:sz w:val="19"/>
              </w:rPr>
              <w:t>$1,986,000</w:t>
            </w:r>
          </w:p>
        </w:tc>
      </w:tr>
      <w:tr>
        <w:tc>
          <w:tcPr>
            <w:tcW w:type="dxa" w:w="5760"/>
            <w:shd w:val="clear" w:color="auto" w:fill="F4EEE4"/>
          </w:tcPr>
          <w:p>
            <w:pPr>
              <w:spacing w:after="40"/>
            </w:pPr>
            <w:r/>
            <w:r>
              <w:rPr>
                <w:b/>
                <w:sz w:val="19"/>
              </w:rPr>
              <w:t>Donor-advised fund grants</w:t>
            </w:r>
          </w:p>
        </w:tc>
        <w:tc>
          <w:tcPr>
            <w:tcW w:type="dxa" w:w="3888"/>
          </w:tcPr>
          <w:p>
            <w:pPr>
              <w:spacing w:after="40"/>
            </w:pPr>
            <w:r/>
            <w:r>
              <w:rPr>
                <w:sz w:val="19"/>
              </w:rPr>
              <w:t>$4,912,000</w:t>
            </w:r>
          </w:p>
        </w:tc>
      </w:tr>
      <w:tr>
        <w:tc>
          <w:tcPr>
            <w:tcW w:type="dxa" w:w="5760"/>
            <w:shd w:val="clear" w:color="auto" w:fill="F4EEE4"/>
          </w:tcPr>
          <w:p>
            <w:pPr>
              <w:spacing w:after="40"/>
            </w:pPr>
            <w:r/>
            <w:r>
              <w:rPr>
                <w:b/>
                <w:sz w:val="19"/>
              </w:rPr>
              <w:t>Designated and agency fund grants</w:t>
            </w:r>
          </w:p>
        </w:tc>
        <w:tc>
          <w:tcPr>
            <w:tcW w:type="dxa" w:w="3888"/>
          </w:tcPr>
          <w:p>
            <w:pPr>
              <w:spacing w:after="40"/>
            </w:pPr>
            <w:r/>
            <w:r>
              <w:rPr>
                <w:sz w:val="19"/>
              </w:rPr>
              <w:t>$948,000</w:t>
            </w:r>
          </w:p>
        </w:tc>
      </w:tr>
      <w:tr>
        <w:tc>
          <w:tcPr>
            <w:tcW w:type="dxa" w:w="5760"/>
            <w:shd w:val="clear" w:color="auto" w:fill="F4EEE4"/>
          </w:tcPr>
          <w:p>
            <w:pPr>
              <w:spacing w:after="40"/>
            </w:pPr>
            <w:r/>
            <w:r>
              <w:rPr>
                <w:b/>
                <w:sz w:val="19"/>
              </w:rPr>
              <w:t>New charitable funds established</w:t>
            </w:r>
          </w:p>
        </w:tc>
        <w:tc>
          <w:tcPr>
            <w:tcW w:type="dxa" w:w="3888"/>
          </w:tcPr>
          <w:p>
            <w:pPr>
              <w:spacing w:after="40"/>
            </w:pPr>
            <w:r/>
            <w:r>
              <w:rPr>
                <w:sz w:val="19"/>
              </w:rPr>
              <w:t>22</w:t>
            </w:r>
          </w:p>
        </w:tc>
      </w:tr>
      <w:tr>
        <w:tc>
          <w:tcPr>
            <w:tcW w:type="dxa" w:w="5760"/>
            <w:shd w:val="clear" w:color="auto" w:fill="F4EEE4"/>
          </w:tcPr>
          <w:p>
            <w:pPr>
              <w:spacing w:after="40"/>
            </w:pPr>
            <w:r/>
            <w:r>
              <w:rPr>
                <w:b/>
                <w:sz w:val="19"/>
              </w:rPr>
              <w:t>Total charitable funds</w:t>
            </w:r>
          </w:p>
        </w:tc>
        <w:tc>
          <w:tcPr>
            <w:tcW w:type="dxa" w:w="3888"/>
          </w:tcPr>
          <w:p>
            <w:pPr>
              <w:spacing w:after="40"/>
            </w:pPr>
            <w:r/>
            <w:r>
              <w:rPr>
                <w:sz w:val="19"/>
              </w:rPr>
              <w:t>310</w:t>
            </w:r>
          </w:p>
        </w:tc>
      </w:tr>
      <w:tr>
        <w:tc>
          <w:tcPr>
            <w:tcW w:type="dxa" w:w="5760"/>
            <w:shd w:val="clear" w:color="auto" w:fill="F4EEE4"/>
          </w:tcPr>
          <w:p>
            <w:pPr>
              <w:spacing w:after="40"/>
            </w:pPr>
            <w:r/>
            <w:r>
              <w:rPr>
                <w:b/>
                <w:sz w:val="19"/>
              </w:rPr>
              <w:t>Total assets (December 31, 2025)</w:t>
            </w:r>
          </w:p>
        </w:tc>
        <w:tc>
          <w:tcPr>
            <w:tcW w:type="dxa" w:w="3888"/>
          </w:tcPr>
          <w:p>
            <w:pPr>
              <w:spacing w:after="40"/>
            </w:pPr>
            <w:r/>
            <w:r>
              <w:rPr>
                <w:sz w:val="19"/>
              </w:rPr>
              <w:t>$168.4 million</w:t>
            </w:r>
          </w:p>
        </w:tc>
      </w:tr>
    </w:tbl>
    <w:p>
      <w:pPr>
        <w:spacing w:after="40"/>
      </w:pPr>
    </w:p>
    <w:p>
      <w:pPr>
        <w:pStyle w:val="Heading1"/>
      </w:pPr>
      <w:r>
        <w:t>Grantmaking by focus area</w:t>
      </w:r>
    </w:p>
    <w:p>
      <w:pPr>
        <w:jc w:val="center"/>
      </w:pPr>
      <w:r>
        <w:drawing>
          <wp:inline xmlns:a="http://schemas.openxmlformats.org/drawingml/2006/main" xmlns:pic="http://schemas.openxmlformats.org/drawingml/2006/picture">
            <wp:extent cx="5852160" cy="3199181"/>
            <wp:docPr id="1" name="Picture 1"/>
            <wp:cNvGraphicFramePr>
              <a:graphicFrameLocks noChangeAspect="1"/>
            </wp:cNvGraphicFramePr>
            <a:graphic>
              <a:graphicData uri="http://schemas.openxmlformats.org/drawingml/2006/picture">
                <pic:pic>
                  <pic:nvPicPr>
                    <pic:cNvPr id="0" name="chart-focus-2025.png"/>
                    <pic:cNvPicPr/>
                  </pic:nvPicPr>
                  <pic:blipFill>
                    <a:blip r:embed="rId11"/>
                    <a:stretch>
                      <a:fillRect/>
                    </a:stretch>
                  </pic:blipFill>
                  <pic:spPr>
                    <a:xfrm>
                      <a:off x="0" y="0"/>
                      <a:ext cx="5852160" cy="3199181"/>
                    </a:xfrm>
                    <a:prstGeom prst="rect"/>
                  </pic:spPr>
                </pic:pic>
              </a:graphicData>
            </a:graphic>
          </wp:inline>
        </w:drawing>
      </w:r>
    </w:p>
    <w:p>
      <w:r>
        <w:rPr>
          <w:i/>
          <w:color w:val="5F6B6E"/>
          <w:sz w:val="18"/>
        </w:rPr>
        <w:t>Grants from all fund types, including donor-advised funds, classified by the primary focus area of the recipient organization.</w:t>
      </w:r>
    </w:p>
    <w:p>
      <w:pPr>
        <w:pStyle w:val="Heading1"/>
      </w:pPr>
      <w:r>
        <w:t>Highlights</w:t>
      </w:r>
    </w:p>
    <w:p>
      <w:pPr>
        <w:pStyle w:val="ListBullet"/>
      </w:pPr>
      <w:r>
        <w:rPr>
          <w:b/>
        </w:rPr>
        <w:t xml:space="preserve">Community Impact Grants: </w:t>
      </w:r>
      <w:r>
        <w:t>$1.21 million in unrestricted support to 97 organizations across the Spring and Fall cycles.</w:t>
      </w:r>
    </w:p>
    <w:p>
      <w:pPr>
        <w:pStyle w:val="ListBullet"/>
      </w:pPr>
      <w:r>
        <w:rPr>
          <w:b/>
        </w:rPr>
        <w:t xml:space="preserve">First Steps Infant &amp; Toddler Fund: </w:t>
      </w:r>
      <w:r>
        <w:t>$455,000 to 14 programs, adding 86 licensed infant and toddler care slots in the region.</w:t>
      </w:r>
    </w:p>
    <w:p>
      <w:pPr>
        <w:pStyle w:val="ListBullet"/>
      </w:pPr>
      <w:r>
        <w:rPr>
          <w:b/>
        </w:rPr>
        <w:t xml:space="preserve">Plateau Indigenous Communities Fund: </w:t>
      </w:r>
      <w:r>
        <w:t>$221,000 to 29 tribal programs and Native-led organizations, including nine language programs.</w:t>
      </w:r>
    </w:p>
    <w:p>
      <w:pPr>
        <w:pStyle w:val="ListBullet"/>
      </w:pPr>
      <w:r>
        <w:rPr>
          <w:b/>
        </w:rPr>
        <w:t xml:space="preserve">Rapid Response &amp; Resilience: </w:t>
      </w:r>
      <w:r>
        <w:t>$208,000 to 23 organizations responding to wildfire, flooding, and a January blizzard on the Navajo Nation.</w:t>
      </w:r>
    </w:p>
    <w:p>
      <w:pPr>
        <w:pStyle w:val="ListBullet"/>
      </w:pPr>
      <w:r>
        <w:rPr>
          <w:b/>
        </w:rPr>
        <w:t xml:space="preserve">Nonprofit Learning Hub: </w:t>
      </w:r>
      <w:r>
        <w:t>412 nonprofit staff and board members attended 38 workshops and cohort sessions.</w:t>
      </w:r>
    </w:p>
    <w:p>
      <w:pPr>
        <w:pStyle w:val="Heading1"/>
      </w:pPr>
      <w:r>
        <w:t>Financial summary</w:t>
      </w:r>
    </w:p>
    <w:tbl>
      <w:tblPr>
        <w:tblW w:type="auto" w:w="0"/>
        <w:jc w:val="center"/>
        <w:tblLook w:firstColumn="1" w:firstRow="1" w:lastColumn="0" w:lastRow="0" w:noHBand="0" w:noVBand="1" w:val="04A0"/>
        <w:tblBorders>
          <w:top w:val="single" w:sz="4" w:space="0" w:color="B9C4C0"/>
          <w:left w:val="single" w:sz="4" w:space="0" w:color="B9C4C0"/>
          <w:bottom w:val="single" w:sz="4" w:space="0" w:color="B9C4C0"/>
          <w:right w:val="single" w:sz="4" w:space="0" w:color="B9C4C0"/>
          <w:insideH w:val="single" w:sz="4" w:space="0" w:color="B9C4C0"/>
          <w:insideV w:val="single" w:sz="4" w:space="0" w:color="B9C4C0"/>
        </w:tblBorders>
      </w:tblPr>
      <w:tblGrid>
        <w:gridCol w:w="4824"/>
        <w:gridCol w:w="4824"/>
      </w:tblGrid>
      <w:tr>
        <w:trPr>
          <w:tblHeader w:val="true"/>
        </w:trPr>
        <w:tc>
          <w:tcPr>
            <w:tcW w:type="dxa" w:w="5760"/>
            <w:shd w:val="clear" w:color="auto" w:fill="2F5D50"/>
          </w:tcPr>
          <w:p>
            <w:r/>
            <w:r>
              <w:rPr>
                <w:b/>
                <w:color w:val="FFFFFF"/>
                <w:sz w:val="19"/>
              </w:rPr>
              <w:t>Revenue</w:t>
            </w:r>
          </w:p>
        </w:tc>
        <w:tc>
          <w:tcPr>
            <w:tcW w:type="dxa" w:w="3888"/>
            <w:shd w:val="clear" w:color="auto" w:fill="2F5D50"/>
          </w:tcPr>
          <w:p>
            <w:r/>
            <w:r>
              <w:rPr>
                <w:b/>
                <w:color w:val="FFFFFF"/>
                <w:sz w:val="19"/>
              </w:rPr>
              <w:t>2025</w:t>
            </w:r>
          </w:p>
        </w:tc>
      </w:tr>
      <w:tr>
        <w:tc>
          <w:tcPr>
            <w:tcW w:type="dxa" w:w="5760"/>
          </w:tcPr>
          <w:p>
            <w:pPr>
              <w:spacing w:after="40"/>
            </w:pPr>
            <w:r/>
            <w:r>
              <w:rPr>
                <w:sz w:val="19"/>
              </w:rPr>
              <w:t>Contributions received</w:t>
            </w:r>
          </w:p>
        </w:tc>
        <w:tc>
          <w:tcPr>
            <w:tcW w:type="dxa" w:w="3888"/>
          </w:tcPr>
          <w:p>
            <w:pPr>
              <w:spacing w:after="40"/>
            </w:pPr>
            <w:r/>
            <w:r>
              <w:rPr>
                <w:sz w:val="19"/>
              </w:rPr>
              <w:t>$14,200,000</w:t>
            </w:r>
          </w:p>
        </w:tc>
      </w:tr>
      <w:tr>
        <w:tc>
          <w:tcPr>
            <w:tcW w:type="dxa" w:w="5760"/>
          </w:tcPr>
          <w:p>
            <w:pPr>
              <w:spacing w:after="40"/>
            </w:pPr>
            <w:r/>
            <w:r>
              <w:rPr>
                <w:sz w:val="19"/>
              </w:rPr>
              <w:t>Investment return, net</w:t>
            </w:r>
          </w:p>
        </w:tc>
        <w:tc>
          <w:tcPr>
            <w:tcW w:type="dxa" w:w="3888"/>
          </w:tcPr>
          <w:p>
            <w:pPr>
              <w:spacing w:after="40"/>
            </w:pPr>
            <w:r/>
            <w:r>
              <w:rPr>
                <w:sz w:val="19"/>
              </w:rPr>
              <w:t>$16,800,000</w:t>
            </w:r>
          </w:p>
        </w:tc>
      </w:tr>
      <w:tr>
        <w:tc>
          <w:tcPr>
            <w:tcW w:type="dxa" w:w="5760"/>
          </w:tcPr>
          <w:p>
            <w:pPr>
              <w:spacing w:after="40"/>
            </w:pPr>
            <w:r/>
            <w:r>
              <w:rPr>
                <w:sz w:val="19"/>
              </w:rPr>
              <w:t>Other income</w:t>
            </w:r>
          </w:p>
        </w:tc>
        <w:tc>
          <w:tcPr>
            <w:tcW w:type="dxa" w:w="3888"/>
          </w:tcPr>
          <w:p>
            <w:pPr>
              <w:spacing w:after="40"/>
            </w:pPr>
            <w:r/>
            <w:r>
              <w:rPr>
                <w:sz w:val="19"/>
              </w:rPr>
              <w:t>$300,000</w:t>
            </w:r>
          </w:p>
        </w:tc>
      </w:tr>
      <w:tr>
        <w:tc>
          <w:tcPr>
            <w:tcW w:type="dxa" w:w="5760"/>
            <w:shd w:val="clear" w:color="auto" w:fill="E8EFEC"/>
          </w:tcPr>
          <w:p>
            <w:pPr>
              <w:spacing w:after="40"/>
            </w:pPr>
            <w:r/>
            <w:r>
              <w:rPr>
                <w:b/>
                <w:sz w:val="19"/>
              </w:rPr>
              <w:t>Total revenue</w:t>
            </w:r>
          </w:p>
        </w:tc>
        <w:tc>
          <w:tcPr>
            <w:tcW w:type="dxa" w:w="3888"/>
            <w:shd w:val="clear" w:color="auto" w:fill="E8EFEC"/>
          </w:tcPr>
          <w:p>
            <w:pPr>
              <w:spacing w:after="40"/>
            </w:pPr>
            <w:r/>
            <w:r>
              <w:rPr>
                <w:b/>
                <w:sz w:val="19"/>
              </w:rPr>
              <w:t>$31,300,000</w:t>
            </w:r>
          </w:p>
        </w:tc>
      </w:tr>
    </w:tbl>
    <w:p>
      <w:pPr>
        <w:spacing w:after="40"/>
      </w:pPr>
    </w:p>
    <w:tbl>
      <w:tblPr>
        <w:tblW w:type="auto" w:w="0"/>
        <w:jc w:val="center"/>
        <w:tblLook w:firstColumn="1" w:firstRow="1" w:lastColumn="0" w:lastRow="0" w:noHBand="0" w:noVBand="1" w:val="04A0"/>
        <w:tblBorders>
          <w:top w:val="single" w:sz="4" w:space="0" w:color="B9C4C0"/>
          <w:left w:val="single" w:sz="4" w:space="0" w:color="B9C4C0"/>
          <w:bottom w:val="single" w:sz="4" w:space="0" w:color="B9C4C0"/>
          <w:right w:val="single" w:sz="4" w:space="0" w:color="B9C4C0"/>
          <w:insideH w:val="single" w:sz="4" w:space="0" w:color="B9C4C0"/>
          <w:insideV w:val="single" w:sz="4" w:space="0" w:color="B9C4C0"/>
        </w:tblBorders>
      </w:tblPr>
      <w:tblGrid>
        <w:gridCol w:w="4824"/>
        <w:gridCol w:w="4824"/>
      </w:tblGrid>
      <w:tr>
        <w:trPr>
          <w:tblHeader w:val="true"/>
        </w:trPr>
        <w:tc>
          <w:tcPr>
            <w:tcW w:type="dxa" w:w="5760"/>
            <w:shd w:val="clear" w:color="auto" w:fill="2F5D50"/>
          </w:tcPr>
          <w:p>
            <w:r/>
            <w:r>
              <w:rPr>
                <w:b/>
                <w:color w:val="FFFFFF"/>
                <w:sz w:val="19"/>
              </w:rPr>
              <w:t>Expenses</w:t>
            </w:r>
          </w:p>
        </w:tc>
        <w:tc>
          <w:tcPr>
            <w:tcW w:type="dxa" w:w="3888"/>
            <w:shd w:val="clear" w:color="auto" w:fill="2F5D50"/>
          </w:tcPr>
          <w:p>
            <w:r/>
            <w:r>
              <w:rPr>
                <w:b/>
                <w:color w:val="FFFFFF"/>
                <w:sz w:val="19"/>
              </w:rPr>
              <w:t>2025</w:t>
            </w:r>
          </w:p>
        </w:tc>
      </w:tr>
      <w:tr>
        <w:tc>
          <w:tcPr>
            <w:tcW w:type="dxa" w:w="5760"/>
          </w:tcPr>
          <w:p>
            <w:pPr>
              <w:spacing w:after="40"/>
            </w:pPr>
            <w:r/>
            <w:r>
              <w:rPr>
                <w:sz w:val="19"/>
              </w:rPr>
              <w:t>Grants paid</w:t>
            </w:r>
          </w:p>
        </w:tc>
        <w:tc>
          <w:tcPr>
            <w:tcW w:type="dxa" w:w="3888"/>
          </w:tcPr>
          <w:p>
            <w:pPr>
              <w:spacing w:after="40"/>
            </w:pPr>
            <w:r/>
            <w:r>
              <w:rPr>
                <w:sz w:val="19"/>
              </w:rPr>
              <w:t>$7,846,000</w:t>
            </w:r>
          </w:p>
        </w:tc>
      </w:tr>
      <w:tr>
        <w:tc>
          <w:tcPr>
            <w:tcW w:type="dxa" w:w="5760"/>
          </w:tcPr>
          <w:p>
            <w:pPr>
              <w:spacing w:after="40"/>
            </w:pPr>
            <w:r/>
            <w:r>
              <w:rPr>
                <w:sz w:val="19"/>
              </w:rPr>
              <w:t>Community programs and Learning Hub</w:t>
            </w:r>
          </w:p>
        </w:tc>
        <w:tc>
          <w:tcPr>
            <w:tcW w:type="dxa" w:w="3888"/>
          </w:tcPr>
          <w:p>
            <w:pPr>
              <w:spacing w:after="40"/>
            </w:pPr>
            <w:r/>
            <w:r>
              <w:rPr>
                <w:sz w:val="19"/>
              </w:rPr>
              <w:t>$1,120,000</w:t>
            </w:r>
          </w:p>
        </w:tc>
      </w:tr>
      <w:tr>
        <w:tc>
          <w:tcPr>
            <w:tcW w:type="dxa" w:w="5760"/>
          </w:tcPr>
          <w:p>
            <w:pPr>
              <w:spacing w:after="40"/>
            </w:pPr>
            <w:r/>
            <w:r>
              <w:rPr>
                <w:sz w:val="19"/>
              </w:rPr>
              <w:t>Management and general</w:t>
            </w:r>
          </w:p>
        </w:tc>
        <w:tc>
          <w:tcPr>
            <w:tcW w:type="dxa" w:w="3888"/>
          </w:tcPr>
          <w:p>
            <w:pPr>
              <w:spacing w:after="40"/>
            </w:pPr>
            <w:r/>
            <w:r>
              <w:rPr>
                <w:sz w:val="19"/>
              </w:rPr>
              <w:t>$940,000</w:t>
            </w:r>
          </w:p>
        </w:tc>
      </w:tr>
      <w:tr>
        <w:tc>
          <w:tcPr>
            <w:tcW w:type="dxa" w:w="5760"/>
          </w:tcPr>
          <w:p>
            <w:pPr>
              <w:spacing w:after="40"/>
            </w:pPr>
            <w:r/>
            <w:r>
              <w:rPr>
                <w:sz w:val="19"/>
              </w:rPr>
              <w:t>Fundraising and donor services</w:t>
            </w:r>
          </w:p>
        </w:tc>
        <w:tc>
          <w:tcPr>
            <w:tcW w:type="dxa" w:w="3888"/>
          </w:tcPr>
          <w:p>
            <w:pPr>
              <w:spacing w:after="40"/>
            </w:pPr>
            <w:r/>
            <w:r>
              <w:rPr>
                <w:sz w:val="19"/>
              </w:rPr>
              <w:t>$610,000</w:t>
            </w:r>
          </w:p>
        </w:tc>
      </w:tr>
      <w:tr>
        <w:tc>
          <w:tcPr>
            <w:tcW w:type="dxa" w:w="5760"/>
            <w:shd w:val="clear" w:color="auto" w:fill="E8EFEC"/>
          </w:tcPr>
          <w:p>
            <w:pPr>
              <w:spacing w:after="40"/>
            </w:pPr>
            <w:r/>
            <w:r>
              <w:rPr>
                <w:b/>
                <w:sz w:val="19"/>
              </w:rPr>
              <w:t>Total expenses</w:t>
            </w:r>
          </w:p>
        </w:tc>
        <w:tc>
          <w:tcPr>
            <w:tcW w:type="dxa" w:w="3888"/>
            <w:shd w:val="clear" w:color="auto" w:fill="E8EFEC"/>
          </w:tcPr>
          <w:p>
            <w:pPr>
              <w:spacing w:after="40"/>
            </w:pPr>
            <w:r/>
            <w:r>
              <w:rPr>
                <w:b/>
                <w:sz w:val="19"/>
              </w:rPr>
              <w:t>$10,516,000</w:t>
            </w:r>
          </w:p>
        </w:tc>
      </w:tr>
    </w:tbl>
    <w:p>
      <w:pPr>
        <w:spacing w:after="40"/>
      </w:pPr>
    </w:p>
    <w:p>
      <w:r>
        <w:rPr>
          <w:i w:val="0"/>
          <w:sz w:val="19"/>
        </w:rPr>
        <w:t>Complete figures appear in the Financial Summary, Fiscal Year 2025, available at https://hufsa-stack.github.io/cinder-peaks-community-foundation/documents/reports/cpcf-fy2025-financial-summary.pdf</w:t>
      </w:r>
    </w:p>
    <w:p>
      <w:pPr>
        <w:pStyle w:val="Heading1"/>
      </w:pPr>
      <w:r>
        <w:t>Board of directors</w:t>
      </w:r>
    </w:p>
    <w:tbl>
      <w:tblPr>
        <w:tblW w:type="auto" w:w="0"/>
        <w:jc w:val="center"/>
        <w:tblLook w:firstColumn="1" w:firstRow="1" w:lastColumn="0" w:lastRow="0" w:noHBand="0" w:noVBand="1" w:val="04A0"/>
        <w:tblBorders>
          <w:top w:val="single" w:sz="4" w:space="0" w:color="B9C4C0"/>
          <w:left w:val="single" w:sz="4" w:space="0" w:color="B9C4C0"/>
          <w:bottom w:val="single" w:sz="4" w:space="0" w:color="B9C4C0"/>
          <w:right w:val="single" w:sz="4" w:space="0" w:color="B9C4C0"/>
          <w:insideH w:val="single" w:sz="4" w:space="0" w:color="B9C4C0"/>
          <w:insideV w:val="single" w:sz="4" w:space="0" w:color="B9C4C0"/>
        </w:tblBorders>
      </w:tblPr>
      <w:tblGrid>
        <w:gridCol w:w="3216"/>
        <w:gridCol w:w="3216"/>
        <w:gridCol w:w="3216"/>
      </w:tblGrid>
      <w:tr>
        <w:trPr>
          <w:tblHeader w:val="true"/>
        </w:trPr>
        <w:tc>
          <w:tcPr>
            <w:tcW w:type="dxa" w:w="3744"/>
            <w:shd w:val="clear" w:color="auto" w:fill="2F5D50"/>
          </w:tcPr>
          <w:p>
            <w:r/>
            <w:r>
              <w:rPr>
                <w:b/>
                <w:color w:val="FFFFFF"/>
                <w:sz w:val="19"/>
              </w:rPr>
              <w:t>Name</w:t>
            </w:r>
          </w:p>
        </w:tc>
        <w:tc>
          <w:tcPr>
            <w:tcW w:type="dxa" w:w="2592"/>
            <w:shd w:val="clear" w:color="auto" w:fill="2F5D50"/>
          </w:tcPr>
          <w:p>
            <w:r/>
            <w:r>
              <w:rPr>
                <w:b/>
                <w:color w:val="FFFFFF"/>
                <w:sz w:val="19"/>
              </w:rPr>
              <w:t>Role</w:t>
            </w:r>
          </w:p>
        </w:tc>
        <w:tc>
          <w:tcPr>
            <w:tcW w:type="dxa" w:w="3312"/>
            <w:shd w:val="clear" w:color="auto" w:fill="2F5D50"/>
          </w:tcPr>
          <w:p>
            <w:r/>
            <w:r>
              <w:rPr>
                <w:b/>
                <w:color w:val="FFFFFF"/>
                <w:sz w:val="19"/>
              </w:rPr>
              <w:t>Community</w:t>
            </w:r>
          </w:p>
        </w:tc>
      </w:tr>
      <w:tr>
        <w:tc>
          <w:tcPr>
            <w:tcW w:type="dxa" w:w="3744"/>
          </w:tcPr>
          <w:p>
            <w:pPr>
              <w:spacing w:after="40"/>
            </w:pPr>
            <w:r/>
            <w:r>
              <w:rPr>
                <w:sz w:val="19"/>
              </w:rPr>
              <w:t>Gloria Atcitty</w:t>
            </w:r>
          </w:p>
        </w:tc>
        <w:tc>
          <w:tcPr>
            <w:tcW w:type="dxa" w:w="2592"/>
          </w:tcPr>
          <w:p>
            <w:pPr>
              <w:spacing w:after="40"/>
            </w:pPr>
            <w:r/>
            <w:r>
              <w:rPr>
                <w:sz w:val="19"/>
              </w:rPr>
              <w:t>Chair</w:t>
            </w:r>
          </w:p>
        </w:tc>
        <w:tc>
          <w:tcPr>
            <w:tcW w:type="dxa" w:w="3312"/>
          </w:tcPr>
          <w:p>
            <w:pPr>
              <w:spacing w:after="40"/>
            </w:pPr>
            <w:r/>
            <w:r>
              <w:rPr>
                <w:sz w:val="19"/>
              </w:rPr>
              <w:t>Tuba City</w:t>
            </w:r>
          </w:p>
        </w:tc>
      </w:tr>
      <w:tr>
        <w:tc>
          <w:tcPr>
            <w:tcW w:type="dxa" w:w="3744"/>
          </w:tcPr>
          <w:p>
            <w:pPr>
              <w:spacing w:after="40"/>
            </w:pPr>
            <w:r/>
            <w:r>
              <w:rPr>
                <w:sz w:val="19"/>
              </w:rPr>
              <w:t>Raymond Kessler</w:t>
            </w:r>
          </w:p>
        </w:tc>
        <w:tc>
          <w:tcPr>
            <w:tcW w:type="dxa" w:w="2592"/>
          </w:tcPr>
          <w:p>
            <w:pPr>
              <w:spacing w:after="40"/>
            </w:pPr>
            <w:r/>
            <w:r>
              <w:rPr>
                <w:sz w:val="19"/>
              </w:rPr>
              <w:t>Vice Chair</w:t>
            </w:r>
          </w:p>
        </w:tc>
        <w:tc>
          <w:tcPr>
            <w:tcW w:type="dxa" w:w="3312"/>
          </w:tcPr>
          <w:p>
            <w:pPr>
              <w:spacing w:after="40"/>
            </w:pPr>
            <w:r/>
            <w:r>
              <w:rPr>
                <w:sz w:val="19"/>
              </w:rPr>
              <w:t>Prescott</w:t>
            </w:r>
          </w:p>
        </w:tc>
      </w:tr>
      <w:tr>
        <w:tc>
          <w:tcPr>
            <w:tcW w:type="dxa" w:w="3744"/>
          </w:tcPr>
          <w:p>
            <w:pPr>
              <w:spacing w:after="40"/>
            </w:pPr>
            <w:r/>
            <w:r>
              <w:rPr>
                <w:sz w:val="19"/>
              </w:rPr>
              <w:t>Fiona Marchetti</w:t>
            </w:r>
          </w:p>
        </w:tc>
        <w:tc>
          <w:tcPr>
            <w:tcW w:type="dxa" w:w="2592"/>
          </w:tcPr>
          <w:p>
            <w:pPr>
              <w:spacing w:after="40"/>
            </w:pPr>
            <w:r/>
            <w:r>
              <w:rPr>
                <w:sz w:val="19"/>
              </w:rPr>
              <w:t>Treasurer</w:t>
            </w:r>
          </w:p>
        </w:tc>
        <w:tc>
          <w:tcPr>
            <w:tcW w:type="dxa" w:w="3312"/>
          </w:tcPr>
          <w:p>
            <w:pPr>
              <w:spacing w:after="40"/>
            </w:pPr>
            <w:r/>
            <w:r>
              <w:rPr>
                <w:sz w:val="19"/>
              </w:rPr>
              <w:t>Flagstaff</w:t>
            </w:r>
          </w:p>
        </w:tc>
      </w:tr>
      <w:tr>
        <w:tc>
          <w:tcPr>
            <w:tcW w:type="dxa" w:w="3744"/>
          </w:tcPr>
          <w:p>
            <w:pPr>
              <w:spacing w:after="40"/>
            </w:pPr>
            <w:r/>
            <w:r>
              <w:rPr>
                <w:sz w:val="19"/>
              </w:rPr>
              <w:t>Desmond Achebe-Ross</w:t>
            </w:r>
          </w:p>
        </w:tc>
        <w:tc>
          <w:tcPr>
            <w:tcW w:type="dxa" w:w="2592"/>
          </w:tcPr>
          <w:p>
            <w:pPr>
              <w:spacing w:after="40"/>
            </w:pPr>
            <w:r/>
            <w:r>
              <w:rPr>
                <w:sz w:val="19"/>
              </w:rPr>
              <w:t>Secretary</w:t>
            </w:r>
          </w:p>
        </w:tc>
        <w:tc>
          <w:tcPr>
            <w:tcW w:type="dxa" w:w="3312"/>
          </w:tcPr>
          <w:p>
            <w:pPr>
              <w:spacing w:after="40"/>
            </w:pPr>
            <w:r/>
            <w:r>
              <w:rPr>
                <w:sz w:val="19"/>
              </w:rPr>
              <w:t>Sedona</w:t>
            </w:r>
          </w:p>
        </w:tc>
      </w:tr>
      <w:tr>
        <w:tc>
          <w:tcPr>
            <w:tcW w:type="dxa" w:w="3744"/>
          </w:tcPr>
          <w:p>
            <w:pPr>
              <w:spacing w:after="40"/>
            </w:pPr>
            <w:r/>
            <w:r>
              <w:rPr>
                <w:sz w:val="19"/>
              </w:rPr>
              <w:t>Lorraine Haskie</w:t>
            </w:r>
          </w:p>
        </w:tc>
        <w:tc>
          <w:tcPr>
            <w:tcW w:type="dxa" w:w="2592"/>
          </w:tcPr>
          <w:p>
            <w:pPr>
              <w:spacing w:after="40"/>
            </w:pPr>
            <w:r/>
            <w:r>
              <w:rPr>
                <w:sz w:val="19"/>
              </w:rPr>
              <w:t>Director</w:t>
            </w:r>
          </w:p>
        </w:tc>
        <w:tc>
          <w:tcPr>
            <w:tcW w:type="dxa" w:w="3312"/>
          </w:tcPr>
          <w:p>
            <w:pPr>
              <w:spacing w:after="40"/>
            </w:pPr>
            <w:r/>
            <w:r>
              <w:rPr>
                <w:sz w:val="19"/>
              </w:rPr>
              <w:t>Chinle</w:t>
            </w:r>
          </w:p>
        </w:tc>
      </w:tr>
      <w:tr>
        <w:tc>
          <w:tcPr>
            <w:tcW w:type="dxa" w:w="3744"/>
          </w:tcPr>
          <w:p>
            <w:pPr>
              <w:spacing w:after="40"/>
            </w:pPr>
            <w:r/>
            <w:r>
              <w:rPr>
                <w:sz w:val="19"/>
              </w:rPr>
              <w:t>Benjamin Okoro</w:t>
            </w:r>
          </w:p>
        </w:tc>
        <w:tc>
          <w:tcPr>
            <w:tcW w:type="dxa" w:w="2592"/>
          </w:tcPr>
          <w:p>
            <w:pPr>
              <w:spacing w:after="40"/>
            </w:pPr>
            <w:r/>
            <w:r>
              <w:rPr>
                <w:sz w:val="19"/>
              </w:rPr>
              <w:t>Director</w:t>
            </w:r>
          </w:p>
        </w:tc>
        <w:tc>
          <w:tcPr>
            <w:tcW w:type="dxa" w:w="3312"/>
          </w:tcPr>
          <w:p>
            <w:pPr>
              <w:spacing w:after="40"/>
            </w:pPr>
            <w:r/>
            <w:r>
              <w:rPr>
                <w:sz w:val="19"/>
              </w:rPr>
              <w:t>Flagstaff</w:t>
            </w:r>
          </w:p>
        </w:tc>
      </w:tr>
      <w:tr>
        <w:tc>
          <w:tcPr>
            <w:tcW w:type="dxa" w:w="3744"/>
          </w:tcPr>
          <w:p>
            <w:pPr>
              <w:spacing w:after="40"/>
            </w:pPr>
            <w:r/>
            <w:r>
              <w:rPr>
                <w:sz w:val="19"/>
              </w:rPr>
              <w:t>Carmen Delgado-Price</w:t>
            </w:r>
          </w:p>
        </w:tc>
        <w:tc>
          <w:tcPr>
            <w:tcW w:type="dxa" w:w="2592"/>
          </w:tcPr>
          <w:p>
            <w:pPr>
              <w:spacing w:after="40"/>
            </w:pPr>
            <w:r/>
            <w:r>
              <w:rPr>
                <w:sz w:val="19"/>
              </w:rPr>
              <w:t>Director</w:t>
            </w:r>
          </w:p>
        </w:tc>
        <w:tc>
          <w:tcPr>
            <w:tcW w:type="dxa" w:w="3312"/>
          </w:tcPr>
          <w:p>
            <w:pPr>
              <w:spacing w:after="40"/>
            </w:pPr>
            <w:r/>
            <w:r>
              <w:rPr>
                <w:sz w:val="19"/>
              </w:rPr>
              <w:t>Cottonwood</w:t>
            </w:r>
          </w:p>
        </w:tc>
      </w:tr>
      <w:tr>
        <w:tc>
          <w:tcPr>
            <w:tcW w:type="dxa" w:w="3744"/>
          </w:tcPr>
          <w:p>
            <w:pPr>
              <w:spacing w:after="40"/>
            </w:pPr>
            <w:r/>
            <w:r>
              <w:rPr>
                <w:sz w:val="19"/>
              </w:rPr>
              <w:t>Ingrid Sorensen</w:t>
            </w:r>
          </w:p>
        </w:tc>
        <w:tc>
          <w:tcPr>
            <w:tcW w:type="dxa" w:w="2592"/>
          </w:tcPr>
          <w:p>
            <w:pPr>
              <w:spacing w:after="40"/>
            </w:pPr>
            <w:r/>
            <w:r>
              <w:rPr>
                <w:sz w:val="19"/>
              </w:rPr>
              <w:t>Director</w:t>
            </w:r>
          </w:p>
        </w:tc>
        <w:tc>
          <w:tcPr>
            <w:tcW w:type="dxa" w:w="3312"/>
          </w:tcPr>
          <w:p>
            <w:pPr>
              <w:spacing w:after="40"/>
            </w:pPr>
            <w:r/>
            <w:r>
              <w:rPr>
                <w:sz w:val="19"/>
              </w:rPr>
              <w:t>Show Low</w:t>
            </w:r>
          </w:p>
        </w:tc>
      </w:tr>
      <w:tr>
        <w:tc>
          <w:tcPr>
            <w:tcW w:type="dxa" w:w="3744"/>
          </w:tcPr>
          <w:p>
            <w:pPr>
              <w:spacing w:after="40"/>
            </w:pPr>
            <w:r/>
            <w:r>
              <w:rPr>
                <w:sz w:val="19"/>
              </w:rPr>
              <w:t>Walter Chee</w:t>
            </w:r>
          </w:p>
        </w:tc>
        <w:tc>
          <w:tcPr>
            <w:tcW w:type="dxa" w:w="2592"/>
          </w:tcPr>
          <w:p>
            <w:pPr>
              <w:spacing w:after="40"/>
            </w:pPr>
            <w:r/>
            <w:r>
              <w:rPr>
                <w:sz w:val="19"/>
              </w:rPr>
              <w:t>Director</w:t>
            </w:r>
          </w:p>
        </w:tc>
        <w:tc>
          <w:tcPr>
            <w:tcW w:type="dxa" w:w="3312"/>
          </w:tcPr>
          <w:p>
            <w:pPr>
              <w:spacing w:after="40"/>
            </w:pPr>
            <w:r/>
            <w:r>
              <w:rPr>
                <w:sz w:val="19"/>
              </w:rPr>
              <w:t>Winslow</w:t>
            </w:r>
          </w:p>
        </w:tc>
      </w:tr>
      <w:tr>
        <w:tc>
          <w:tcPr>
            <w:tcW w:type="dxa" w:w="3744"/>
          </w:tcPr>
          <w:p>
            <w:pPr>
              <w:spacing w:after="40"/>
            </w:pPr>
            <w:r/>
            <w:r>
              <w:rPr>
                <w:sz w:val="19"/>
              </w:rPr>
              <w:t>Annika Patel</w:t>
            </w:r>
          </w:p>
        </w:tc>
        <w:tc>
          <w:tcPr>
            <w:tcW w:type="dxa" w:w="2592"/>
          </w:tcPr>
          <w:p>
            <w:pPr>
              <w:spacing w:after="40"/>
            </w:pPr>
            <w:r/>
            <w:r>
              <w:rPr>
                <w:sz w:val="19"/>
              </w:rPr>
              <w:t>Director</w:t>
            </w:r>
          </w:p>
        </w:tc>
        <w:tc>
          <w:tcPr>
            <w:tcW w:type="dxa" w:w="3312"/>
          </w:tcPr>
          <w:p>
            <w:pPr>
              <w:spacing w:after="40"/>
            </w:pPr>
            <w:r/>
            <w:r>
              <w:rPr>
                <w:sz w:val="19"/>
              </w:rPr>
              <w:t>Flagstaff</w:t>
            </w:r>
          </w:p>
        </w:tc>
      </w:tr>
      <w:tr>
        <w:tc>
          <w:tcPr>
            <w:tcW w:type="dxa" w:w="3744"/>
          </w:tcPr>
          <w:p>
            <w:pPr>
              <w:spacing w:after="40"/>
            </w:pPr>
            <w:r/>
            <w:r>
              <w:rPr>
                <w:sz w:val="19"/>
              </w:rPr>
              <w:t>Jeremiah Lomayestewa</w:t>
            </w:r>
          </w:p>
        </w:tc>
        <w:tc>
          <w:tcPr>
            <w:tcW w:type="dxa" w:w="2592"/>
          </w:tcPr>
          <w:p>
            <w:pPr>
              <w:spacing w:after="40"/>
            </w:pPr>
            <w:r/>
            <w:r>
              <w:rPr>
                <w:sz w:val="19"/>
              </w:rPr>
              <w:t>Director</w:t>
            </w:r>
          </w:p>
        </w:tc>
        <w:tc>
          <w:tcPr>
            <w:tcW w:type="dxa" w:w="3312"/>
          </w:tcPr>
          <w:p>
            <w:pPr>
              <w:spacing w:after="40"/>
            </w:pPr>
            <w:r/>
            <w:r>
              <w:rPr>
                <w:sz w:val="19"/>
              </w:rPr>
              <w:t>Kykotsmovi</w:t>
            </w:r>
          </w:p>
        </w:tc>
      </w:tr>
      <w:tr>
        <w:tc>
          <w:tcPr>
            <w:tcW w:type="dxa" w:w="3744"/>
          </w:tcPr>
          <w:p>
            <w:pPr>
              <w:spacing w:after="40"/>
            </w:pPr>
            <w:r/>
            <w:r>
              <w:rPr>
                <w:sz w:val="19"/>
              </w:rPr>
              <w:t>Teresa Murillo</w:t>
            </w:r>
          </w:p>
        </w:tc>
        <w:tc>
          <w:tcPr>
            <w:tcW w:type="dxa" w:w="2592"/>
          </w:tcPr>
          <w:p>
            <w:pPr>
              <w:spacing w:after="40"/>
            </w:pPr>
            <w:r/>
            <w:r>
              <w:rPr>
                <w:sz w:val="19"/>
              </w:rPr>
              <w:t>Director</w:t>
            </w:r>
          </w:p>
        </w:tc>
        <w:tc>
          <w:tcPr>
            <w:tcW w:type="dxa" w:w="3312"/>
          </w:tcPr>
          <w:p>
            <w:pPr>
              <w:spacing w:after="40"/>
            </w:pPr>
            <w:r/>
            <w:r>
              <w:rPr>
                <w:sz w:val="19"/>
              </w:rPr>
              <w:t>St. Johns</w:t>
            </w:r>
          </w:p>
        </w:tc>
      </w:tr>
    </w:tbl>
    <w:p>
      <w:pPr>
        <w:spacing w:after="40"/>
      </w:pPr>
    </w:p>
    <w:p>
      <w:pPr>
        <w:pStyle w:val="Heading1"/>
      </w:pPr>
      <w:r>
        <w:t>Staff</w:t>
      </w:r>
    </w:p>
    <w:tbl>
      <w:tblPr>
        <w:tblW w:type="auto" w:w="0"/>
        <w:jc w:val="center"/>
        <w:tblLook w:firstColumn="1" w:firstRow="1" w:lastColumn="0" w:lastRow="0" w:noHBand="0" w:noVBand="1" w:val="04A0"/>
        <w:tblBorders>
          <w:top w:val="single" w:sz="4" w:space="0" w:color="B9C4C0"/>
          <w:left w:val="single" w:sz="4" w:space="0" w:color="B9C4C0"/>
          <w:bottom w:val="single" w:sz="4" w:space="0" w:color="B9C4C0"/>
          <w:right w:val="single" w:sz="4" w:space="0" w:color="B9C4C0"/>
          <w:insideH w:val="single" w:sz="4" w:space="0" w:color="B9C4C0"/>
          <w:insideV w:val="single" w:sz="4" w:space="0" w:color="B9C4C0"/>
        </w:tblBorders>
      </w:tblPr>
      <w:tblGrid>
        <w:gridCol w:w="4824"/>
        <w:gridCol w:w="4824"/>
      </w:tblGrid>
      <w:tr>
        <w:trPr>
          <w:tblHeader w:val="true"/>
        </w:trPr>
        <w:tc>
          <w:tcPr>
            <w:tcW w:type="dxa" w:w="3744"/>
            <w:shd w:val="clear" w:color="auto" w:fill="2F5D50"/>
          </w:tcPr>
          <w:p>
            <w:r/>
            <w:r>
              <w:rPr>
                <w:b/>
                <w:color w:val="FFFFFF"/>
                <w:sz w:val="19"/>
              </w:rPr>
              <w:t>Name</w:t>
            </w:r>
          </w:p>
        </w:tc>
        <w:tc>
          <w:tcPr>
            <w:tcW w:type="dxa" w:w="5904"/>
            <w:shd w:val="clear" w:color="auto" w:fill="2F5D50"/>
          </w:tcPr>
          <w:p>
            <w:r/>
            <w:r>
              <w:rPr>
                <w:b/>
                <w:color w:val="FFFFFF"/>
                <w:sz w:val="19"/>
              </w:rPr>
              <w:t>Title</w:t>
            </w:r>
          </w:p>
        </w:tc>
      </w:tr>
      <w:tr>
        <w:tc>
          <w:tcPr>
            <w:tcW w:type="dxa" w:w="3744"/>
          </w:tcPr>
          <w:p>
            <w:pPr>
              <w:spacing w:after="40"/>
            </w:pPr>
            <w:r/>
            <w:r>
              <w:rPr>
                <w:sz w:val="19"/>
              </w:rPr>
              <w:t>Renata Holloway</w:t>
            </w:r>
          </w:p>
        </w:tc>
        <w:tc>
          <w:tcPr>
            <w:tcW w:type="dxa" w:w="5904"/>
          </w:tcPr>
          <w:p>
            <w:pPr>
              <w:spacing w:after="40"/>
            </w:pPr>
            <w:r/>
            <w:r>
              <w:rPr>
                <w:sz w:val="19"/>
              </w:rPr>
              <w:t>President &amp; CEO</w:t>
            </w:r>
          </w:p>
        </w:tc>
      </w:tr>
      <w:tr>
        <w:tc>
          <w:tcPr>
            <w:tcW w:type="dxa" w:w="3744"/>
          </w:tcPr>
          <w:p>
            <w:pPr>
              <w:spacing w:after="40"/>
            </w:pPr>
            <w:r/>
            <w:r>
              <w:rPr>
                <w:sz w:val="19"/>
              </w:rPr>
              <w:t>Simone Okafor</w:t>
            </w:r>
          </w:p>
        </w:tc>
        <w:tc>
          <w:tcPr>
            <w:tcW w:type="dxa" w:w="5904"/>
          </w:tcPr>
          <w:p>
            <w:pPr>
              <w:spacing w:after="40"/>
            </w:pPr>
            <w:r/>
            <w:r>
              <w:rPr>
                <w:sz w:val="19"/>
              </w:rPr>
              <w:t>Vice President, Philanthropy &amp; Donor Relations</w:t>
            </w:r>
          </w:p>
        </w:tc>
      </w:tr>
      <w:tr>
        <w:tc>
          <w:tcPr>
            <w:tcW w:type="dxa" w:w="3744"/>
          </w:tcPr>
          <w:p>
            <w:pPr>
              <w:spacing w:after="40"/>
            </w:pPr>
            <w:r/>
            <w:r>
              <w:rPr>
                <w:sz w:val="19"/>
              </w:rPr>
              <w:t>Marcus Tsosie</w:t>
            </w:r>
          </w:p>
        </w:tc>
        <w:tc>
          <w:tcPr>
            <w:tcW w:type="dxa" w:w="5904"/>
          </w:tcPr>
          <w:p>
            <w:pPr>
              <w:spacing w:after="40"/>
            </w:pPr>
            <w:r/>
            <w:r>
              <w:rPr>
                <w:sz w:val="19"/>
              </w:rPr>
              <w:t>Vice President, Grants &amp; Community Impact</w:t>
            </w:r>
          </w:p>
        </w:tc>
      </w:tr>
      <w:tr>
        <w:tc>
          <w:tcPr>
            <w:tcW w:type="dxa" w:w="3744"/>
          </w:tcPr>
          <w:p>
            <w:pPr>
              <w:spacing w:after="40"/>
            </w:pPr>
            <w:r/>
            <w:r>
              <w:rPr>
                <w:sz w:val="19"/>
              </w:rPr>
              <w:t>Elena Brightwater</w:t>
            </w:r>
          </w:p>
        </w:tc>
        <w:tc>
          <w:tcPr>
            <w:tcW w:type="dxa" w:w="5904"/>
          </w:tcPr>
          <w:p>
            <w:pPr>
              <w:spacing w:after="40"/>
            </w:pPr>
            <w:r/>
            <w:r>
              <w:rPr>
                <w:sz w:val="19"/>
              </w:rPr>
              <w:t>Senior Program Officer, Health &amp; Economic Opportunity</w:t>
            </w:r>
          </w:p>
        </w:tc>
      </w:tr>
      <w:tr>
        <w:tc>
          <w:tcPr>
            <w:tcW w:type="dxa" w:w="3744"/>
          </w:tcPr>
          <w:p>
            <w:pPr>
              <w:spacing w:after="40"/>
            </w:pPr>
            <w:r/>
            <w:r>
              <w:rPr>
                <w:sz w:val="19"/>
              </w:rPr>
              <w:t>Joaquín Arviso</w:t>
            </w:r>
          </w:p>
        </w:tc>
        <w:tc>
          <w:tcPr>
            <w:tcW w:type="dxa" w:w="5904"/>
          </w:tcPr>
          <w:p>
            <w:pPr>
              <w:spacing w:after="40"/>
            </w:pPr>
            <w:r/>
            <w:r>
              <w:rPr>
                <w:sz w:val="19"/>
              </w:rPr>
              <w:t>Program Officer, Education, Arts &amp; Environment</w:t>
            </w:r>
          </w:p>
        </w:tc>
      </w:tr>
      <w:tr>
        <w:tc>
          <w:tcPr>
            <w:tcW w:type="dxa" w:w="3744"/>
          </w:tcPr>
          <w:p>
            <w:pPr>
              <w:spacing w:after="40"/>
            </w:pPr>
            <w:r/>
            <w:r>
              <w:rPr>
                <w:sz w:val="19"/>
              </w:rPr>
              <w:t>Priya Raman-Locke</w:t>
            </w:r>
          </w:p>
        </w:tc>
        <w:tc>
          <w:tcPr>
            <w:tcW w:type="dxa" w:w="5904"/>
          </w:tcPr>
          <w:p>
            <w:pPr>
              <w:spacing w:after="40"/>
            </w:pPr>
            <w:r/>
            <w:r>
              <w:rPr>
                <w:sz w:val="19"/>
              </w:rPr>
              <w:t>Program Officer, Early Childhood &amp; Families</w:t>
            </w:r>
          </w:p>
        </w:tc>
      </w:tr>
      <w:tr>
        <w:tc>
          <w:tcPr>
            <w:tcW w:type="dxa" w:w="3744"/>
          </w:tcPr>
          <w:p>
            <w:pPr>
              <w:spacing w:after="40"/>
            </w:pPr>
            <w:r/>
            <w:r>
              <w:rPr>
                <w:sz w:val="19"/>
              </w:rPr>
              <w:t>Theo Lindqvist</w:t>
            </w:r>
          </w:p>
        </w:tc>
        <w:tc>
          <w:tcPr>
            <w:tcW w:type="dxa" w:w="5904"/>
          </w:tcPr>
          <w:p>
            <w:pPr>
              <w:spacing w:after="40"/>
            </w:pPr>
            <w:r/>
            <w:r>
              <w:rPr>
                <w:sz w:val="19"/>
              </w:rPr>
              <w:t>Grants Manager</w:t>
            </w:r>
          </w:p>
        </w:tc>
      </w:tr>
      <w:tr>
        <w:tc>
          <w:tcPr>
            <w:tcW w:type="dxa" w:w="3744"/>
          </w:tcPr>
          <w:p>
            <w:pPr>
              <w:spacing w:after="40"/>
            </w:pPr>
            <w:r/>
            <w:r>
              <w:rPr>
                <w:sz w:val="19"/>
              </w:rPr>
              <w:t>Dana Whitehorse</w:t>
            </w:r>
          </w:p>
        </w:tc>
        <w:tc>
          <w:tcPr>
            <w:tcW w:type="dxa" w:w="5904"/>
          </w:tcPr>
          <w:p>
            <w:pPr>
              <w:spacing w:after="40"/>
            </w:pPr>
            <w:r/>
            <w:r>
              <w:rPr>
                <w:sz w:val="19"/>
              </w:rPr>
              <w:t>Program Officer, Indigenous Communities</w:t>
            </w:r>
          </w:p>
        </w:tc>
      </w:tr>
      <w:tr>
        <w:tc>
          <w:tcPr>
            <w:tcW w:type="dxa" w:w="3744"/>
          </w:tcPr>
          <w:p>
            <w:pPr>
              <w:spacing w:after="40"/>
            </w:pPr>
            <w:r/>
            <w:r>
              <w:rPr>
                <w:sz w:val="19"/>
              </w:rPr>
              <w:t>Wren Castellano</w:t>
            </w:r>
          </w:p>
        </w:tc>
        <w:tc>
          <w:tcPr>
            <w:tcW w:type="dxa" w:w="5904"/>
          </w:tcPr>
          <w:p>
            <w:pPr>
              <w:spacing w:after="40"/>
            </w:pPr>
            <w:r/>
            <w:r>
              <w:rPr>
                <w:sz w:val="19"/>
              </w:rPr>
              <w:t>Nonprofit Learning Coordinator</w:t>
            </w:r>
          </w:p>
        </w:tc>
      </w:tr>
      <w:tr>
        <w:tc>
          <w:tcPr>
            <w:tcW w:type="dxa" w:w="3744"/>
          </w:tcPr>
          <w:p>
            <w:pPr>
              <w:spacing w:after="40"/>
            </w:pPr>
            <w:r/>
            <w:r>
              <w:rPr>
                <w:sz w:val="19"/>
              </w:rPr>
              <w:t>Corinne Abernathy, CPA</w:t>
            </w:r>
          </w:p>
        </w:tc>
        <w:tc>
          <w:tcPr>
            <w:tcW w:type="dxa" w:w="5904"/>
          </w:tcPr>
          <w:p>
            <w:pPr>
              <w:spacing w:after="40"/>
            </w:pPr>
            <w:r/>
            <w:r>
              <w:rPr>
                <w:sz w:val="19"/>
              </w:rPr>
              <w:t>Chief Financial Officer</w:t>
            </w:r>
          </w:p>
        </w:tc>
      </w:tr>
      <w:tr>
        <w:tc>
          <w:tcPr>
            <w:tcW w:type="dxa" w:w="3744"/>
          </w:tcPr>
          <w:p>
            <w:pPr>
              <w:spacing w:after="40"/>
            </w:pPr>
            <w:r/>
            <w:r>
              <w:rPr>
                <w:sz w:val="19"/>
              </w:rPr>
              <w:t>Hal Pemberton</w:t>
            </w:r>
          </w:p>
        </w:tc>
        <w:tc>
          <w:tcPr>
            <w:tcW w:type="dxa" w:w="5904"/>
          </w:tcPr>
          <w:p>
            <w:pPr>
              <w:spacing w:after="40"/>
            </w:pPr>
            <w:r/>
            <w:r>
              <w:rPr>
                <w:sz w:val="19"/>
              </w:rPr>
              <w:t>Director of Communications</w:t>
            </w:r>
          </w:p>
        </w:tc>
      </w:tr>
      <w:tr>
        <w:tc>
          <w:tcPr>
            <w:tcW w:type="dxa" w:w="3744"/>
          </w:tcPr>
          <w:p>
            <w:pPr>
              <w:spacing w:after="40"/>
            </w:pPr>
            <w:r/>
            <w:r>
              <w:rPr>
                <w:sz w:val="19"/>
              </w:rPr>
              <w:t>Maya Ruelas</w:t>
            </w:r>
          </w:p>
        </w:tc>
        <w:tc>
          <w:tcPr>
            <w:tcW w:type="dxa" w:w="5904"/>
          </w:tcPr>
          <w:p>
            <w:pPr>
              <w:spacing w:after="40"/>
            </w:pPr>
            <w:r/>
            <w:r>
              <w:rPr>
                <w:sz w:val="19"/>
              </w:rPr>
              <w:t>Office &amp; Operations Manager</w:t>
            </w:r>
          </w:p>
        </w:tc>
      </w:tr>
    </w:tbl>
    <w:p>
      <w:pPr>
        <w:spacing w:after="40"/>
      </w:pP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E"/>
        <w:sz w:val="15"/>
      </w:rPr>
      <w:t>Cinder Peaks Community Foundation  ·  1120 N. Cinder Basin Road, Suite 200, Flagstaff, AZ 86001  ·  (928) 555-0147  ·  grants@cinderpeakscf.org</w:t>
    </w:r>
  </w:p>
  <w:p>
    <w:pPr>
      <w:jc w:val="center"/>
    </w:pPr>
    <w:r>
      <w:rPr>
        <w:sz w:val="15"/>
      </w:rPr>
      <w:t xml:space="preserve">Page </w:t>
    </w:r>
    <w:r>
      <w:rPr>
        <w:sz w:val="15"/>
      </w:rPr>
      <w:fldChar w:fldCharType="begin"/>
      <w:instrText xml:space="preserve">PAGE</w:instrText>
      <w:fldChar w:fldCharType="end"/>
    </w:r>
    <w:r>
      <w:rPr>
        <w:sz w:val="15"/>
      </w:rPr>
      <w:t xml:space="preserve"> of </w:t>
    </w:r>
    <w:r>
      <w:rPr>
        <w:sz w:val="15"/>
      </w:rPr>
      <w:fldChar w:fldCharType="begin"/>
      <w:instrText xml:space="preserve">NUMPAGES</w:instrText>
      <w:fldChar w:fldCharType="end"/>
    </w:r>
    <w:r>
      <w:rPr>
        <w:color w:val="5F6B6E"/>
        <w:sz w:val="13"/>
      </w:rPr>
      <w:t xml:space="preserve">   ·   A fictional organization created for website demonstration and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inline xmlns:a="http://schemas.openxmlformats.org/drawingml/2006/main" xmlns:pic="http://schemas.openxmlformats.org/drawingml/2006/picture">
          <wp:extent cx="1395374" cy="384048"/>
          <wp:docPr id="1" name="Picture 1"/>
          <wp:cNvGraphicFramePr>
            <a:graphicFrameLocks noChangeAspect="1"/>
          </wp:cNvGraphicFramePr>
          <a:graphic>
            <a:graphicData uri="http://schemas.openxmlformats.org/drawingml/2006/picture">
              <pic:pic>
                <pic:nvPicPr>
                  <pic:cNvPr id="0" name="logo-doc.png"/>
                  <pic:cNvPicPr/>
                </pic:nvPicPr>
                <pic:blipFill>
                  <a:blip r:embed="rId1"/>
                  <a:stretch>
                    <a:fillRect/>
                  </a:stretch>
                </pic:blipFill>
                <pic:spPr>
                  <a:xfrm>
                    <a:off x="0" y="0"/>
                    <a:ext cx="1395374" cy="384048"/>
                  </a:xfrm>
                  <a:prstGeom prst="rect"/>
                </pic:spPr>
              </pic:pic>
            </a:graphicData>
          </a:graphic>
        </wp:inline>
      </w:drawing>
    </w:r>
    <w:r>
      <w:rPr>
        <w:b/>
        <w:color w:val="5F6B6E"/>
        <w:sz w:val="16"/>
      </w:rPr>
      <w:tab/>
      <w:tab/>
      <w:t>ANNUAL REPORT</w:t>
    </w:r>
  </w:p>
  <w:p>
    <w:pPr>
      <w:pBdr>
        <w:bottom w:val="single" w:sz="8" w:space="1" w:color="A8432A"/>
      </w:pBd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1F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mbria" w:hAnsi="Cambria" w:cs="Cambria" w:eastAsia="Cambria"/>
      <w:b/>
      <w:bCs/>
      <w:color w:val="A8432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mbria" w:hAnsi="Cambria" w:cs="Cambria" w:eastAsia="Cambria"/>
      <w:b/>
      <w:bCs/>
      <w:color w:val="2F5D5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cs="Calibri" w:eastAsia="Calibri"/>
      <w:b/>
      <w:bCs/>
      <w:color w:val="1F2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s="Cambria" w:eastAsia="Cambria"/>
      <w:b/>
      <w:color w:val="1F2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F2A2E"/>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color w:val="1F2A2E"/>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Annual Report</dc:title>
  <dc:subject>Annual Report</dc:subject>
  <dc:creator>Cinder Peaks Community Foundation</dc:creator>
  <cp:keywords>Cinder Peaks Community Foundation; grants; northern Arizona</cp:keywords>
  <dc:description>Site Version 1</dc:description>
  <cp:lastModifiedBy/>
  <cp:revision>1</cp:revision>
  <dcterms:created xsi:type="dcterms:W3CDTF">2013-12-23T23:15:00Z</dcterms:created>
  <dcterms:modified xsi:type="dcterms:W3CDTF">2013-12-23T23:15:00Z</dcterms:modified>
  <cp:category/>
</cp:coreProperties>
</file>