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COMMUNITY IMPACT REPORT</w:t>
      </w:r>
    </w:p>
    <w:p>
      <w:pPr>
        <w:pStyle w:val="Title"/>
        <w:spacing w:after="80"/>
      </w:pPr>
      <w:r>
        <w:t>2025 Community Impact Report</w:t>
      </w:r>
    </w:p>
    <w:p>
      <w:r>
        <w:rPr>
          <w:i/>
          <w:color w:val="5F6B6E"/>
          <w:sz w:val="22"/>
        </w:rPr>
        <w:t>Stories and results from grants made in 2025</w:t>
      </w:r>
    </w:p>
    <w:p>
      <w:r>
        <w:rPr>
          <w:i/>
        </w:rPr>
        <w:t>Every grant the Foundation makes is an investment in a person, a place, or an idea. This report shares what our grantees accomplished in 2025, in their words and in numbers. All organizations named in this report are fictional and are used for demonstration purposes.</w:t>
      </w:r>
    </w:p>
    <w:p>
      <w:pPr>
        <w:pStyle w:val="Heading1"/>
      </w:pPr>
      <w:r>
        <w:t>Where our grants went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ounty-2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32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County served</w:t>
            </w:r>
          </w:p>
        </w:tc>
        <w:tc>
          <w:tcPr>
            <w:tcW w:type="dxa" w:w="288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Grants</w:t>
            </w:r>
          </w:p>
        </w:tc>
        <w:tc>
          <w:tcPr>
            <w:tcW w:type="dxa" w:w="24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Organizations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Coconino County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$3,620,000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268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Yavapai County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$2,310,000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187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Navajo County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$1,040,000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86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Apache County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$660,000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Statewide and other Arizona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$216,000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21</w:t>
            </w:r>
          </w:p>
        </w:tc>
      </w:tr>
      <w:tr>
        <w:tc>
          <w:tcPr>
            <w:tcW w:type="dxa" w:w="432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88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$7,846,000</w:t>
            </w:r>
          </w:p>
        </w:tc>
        <w:tc>
          <w:tcPr>
            <w:tcW w:type="dxa" w:w="244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614</w:t>
            </w:r>
          </w:p>
        </w:tc>
      </w:tr>
    </w:tbl>
    <w:p>
      <w:pPr>
        <w:spacing w:after="40"/>
      </w:pPr>
    </w:p>
    <w:p>
      <w:pPr>
        <w:pStyle w:val="Heading1"/>
      </w:pPr>
      <w:r>
        <w:t>Grantee stories</w:t>
      </w:r>
    </w:p>
    <w:p>
      <w:pPr>
        <w:pStyle w:val="Heading2"/>
      </w:pPr>
      <w:r>
        <w:t>Health &amp; Human Services</w:t>
      </w:r>
    </w:p>
    <w:p>
      <w:r>
        <w:rPr>
          <w:b/>
          <w:i w:val="0"/>
        </w:rPr>
        <w:t>Juniper Path Recovery House, Prescott</w:t>
      </w:r>
    </w:p>
    <w:p>
      <w:r>
        <w:rPr>
          <w:i w:val="0"/>
        </w:rPr>
        <w:t>A $15,000 Community Impact Grant helped Juniper Path keep its doors open while a state contract was delayed. Forty-one women completed residential recovery programs during the grant year, and 33 moved into stable housing.</w:t>
      </w:r>
    </w:p>
    <w:p>
      <w:pPr>
        <w:pStyle w:val="Heading2"/>
      </w:pPr>
      <w:r>
        <w:t>Civic &amp; Economic Opportunity</w:t>
      </w:r>
    </w:p>
    <w:p>
      <w:r>
        <w:rPr>
          <w:b/>
          <w:i w:val="0"/>
        </w:rPr>
        <w:t>High Country Worker Center, Flagstaff</w:t>
      </w:r>
    </w:p>
    <w:p>
      <w:r>
        <w:rPr>
          <w:i w:val="0"/>
        </w:rPr>
        <w:t>Seasonal workers at Grand Canyon lodges used the center's mobile benefits clinic to file 380 tax returns and claim $412,000 in refunds and credits.</w:t>
      </w:r>
    </w:p>
    <w:p>
      <w:pPr>
        <w:pStyle w:val="Heading2"/>
      </w:pPr>
      <w:r>
        <w:t>Education &amp; Youth</w:t>
      </w:r>
    </w:p>
    <w:p>
      <w:r>
        <w:rPr>
          <w:b/>
          <w:i w:val="0"/>
        </w:rPr>
        <w:t>Red Mesa Reading Circle, Teec Nos Pos</w:t>
      </w:r>
    </w:p>
    <w:p>
      <w:r>
        <w:rPr>
          <w:i w:val="0"/>
        </w:rPr>
        <w:t>Volunteer elders read with 120 children each week in Diné bizaad and English. Participating second-graders gained an average of 1.4 grade levels in reading.</w:t>
      </w:r>
    </w:p>
    <w:p>
      <w:pPr>
        <w:pStyle w:val="Heading2"/>
      </w:pPr>
      <w:r>
        <w:t>Environment &amp; Land Stewardship</w:t>
      </w:r>
    </w:p>
    <w:p>
      <w:r>
        <w:rPr>
          <w:b/>
          <w:i w:val="0"/>
        </w:rPr>
        <w:t>Upper Verde Springs Alliance, Chino Valley</w:t>
      </w:r>
    </w:p>
    <w:p>
      <w:r>
        <w:rPr>
          <w:i w:val="0"/>
        </w:rPr>
        <w:t>Volunteers restored fencing and native plantings at nine springs, and monitoring shows flow has returned to two springs that were dry in 2022.</w:t>
      </w:r>
    </w:p>
    <w:p>
      <w:pPr>
        <w:pStyle w:val="Heading2"/>
      </w:pPr>
      <w:r>
        <w:t>Arts &amp; Culture</w:t>
      </w:r>
    </w:p>
    <w:p>
      <w:r>
        <w:rPr>
          <w:b/>
          <w:i w:val="0"/>
        </w:rPr>
        <w:t>Little Colorado Youth Orchestra, Winslow</w:t>
      </w:r>
    </w:p>
    <w:p>
      <w:r>
        <w:rPr>
          <w:i w:val="0"/>
        </w:rPr>
        <w:t>Seventy-two students received free instruments and weekly lessons, and the orchestra performed at the Navajo County Fair for the first time.</w:t>
      </w:r>
    </w:p>
    <w:p>
      <w:pPr>
        <w:pStyle w:val="Heading2"/>
      </w:pPr>
      <w:r>
        <w:t>Animal Welfare</w:t>
      </w:r>
    </w:p>
    <w:p>
      <w:r>
        <w:rPr>
          <w:b/>
          <w:i w:val="0"/>
        </w:rPr>
        <w:t>Mogollon Rim Paws Alliance, Show Low</w:t>
      </w:r>
    </w:p>
    <w:p>
      <w:r>
        <w:rPr>
          <w:i w:val="0"/>
        </w:rPr>
        <w:t>Mobile clinics provided 1,640 low-cost spay and neuter surgeries in rural Navajo and Apache county communities.</w:t>
      </w:r>
    </w:p>
    <w:p>
      <w:pPr>
        <w:pStyle w:val="Heading2"/>
      </w:pPr>
      <w:r>
        <w:t>Early Childhood</w:t>
      </w:r>
    </w:p>
    <w:p>
      <w:r>
        <w:rPr>
          <w:b/>
          <w:i w:val="0"/>
        </w:rPr>
        <w:t>Painted Desert Family Resource Center, Holbrook</w:t>
      </w:r>
    </w:p>
    <w:p>
      <w:r>
        <w:rPr>
          <w:i w:val="0"/>
        </w:rPr>
        <w:t>A First Steps grant funded licensing support for six home-based infant care providers, adding 28 infant slots in a county with fewer than one slot per seven infants.</w:t>
      </w:r>
    </w:p>
    <w:p>
      <w:pPr>
        <w:pStyle w:val="Heading2"/>
      </w:pPr>
      <w:r>
        <w:t>Indigenous Communities</w:t>
      </w:r>
    </w:p>
    <w:p>
      <w:r>
        <w:rPr>
          <w:b/>
          <w:i w:val="0"/>
        </w:rPr>
        <w:t>Third Mesa Seed Keepers, Kykotsmovi</w:t>
      </w:r>
    </w:p>
    <w:p>
      <w:r>
        <w:rPr>
          <w:i w:val="0"/>
        </w:rPr>
        <w:t>Youth and elders planted and harvested 11 heritage crop varieties and distributed seed to 140 families.</w:t>
      </w:r>
    </w:p>
    <w:p>
      <w:pPr>
        <w:pStyle w:val="Heading2"/>
      </w:pPr>
      <w:r>
        <w:t>LGBTQ+ Communities</w:t>
      </w:r>
    </w:p>
    <w:p>
      <w:r>
        <w:rPr>
          <w:b/>
          <w:i w:val="0"/>
        </w:rPr>
        <w:t>Rimrock Pride Center, Sedona</w:t>
      </w:r>
    </w:p>
    <w:p>
      <w:r>
        <w:rPr>
          <w:i w:val="0"/>
        </w:rPr>
        <w:t>Peer support groups for LGBTQ+ older adults grew to 85 regular participants across three Verde Valley towns.</w:t>
      </w:r>
    </w:p>
    <w:p>
      <w:pPr>
        <w:pStyle w:val="Heading2"/>
      </w:pPr>
      <w:r>
        <w:t>Black Futures</w:t>
      </w:r>
    </w:p>
    <w:p>
      <w:r>
        <w:rPr>
          <w:b/>
          <w:i w:val="0"/>
        </w:rPr>
        <w:t>Southside Heritage Project, Flagstaff</w:t>
      </w:r>
    </w:p>
    <w:p>
      <w:r>
        <w:rPr>
          <w:i w:val="0"/>
        </w:rPr>
        <w:t>The project recorded 24 oral histories with descendants of Black families who came to Flagstaff to work in the lumber mills in the 1940s.</w:t>
      </w:r>
    </w:p>
    <w:p>
      <w:pPr>
        <w:pStyle w:val="Heading1"/>
      </w:pPr>
      <w:r>
        <w:t>What grantees told us</w:t>
      </w:r>
    </w:p>
    <w:p>
      <w:pPr>
        <w:pStyle w:val="ListBullet"/>
      </w:pPr>
      <w:r>
        <w:t>94% said unrestricted funding allowed them to respond to unexpected needs.</w:t>
      </w:r>
    </w:p>
    <w:p>
      <w:pPr>
        <w:pStyle w:val="ListBullet"/>
      </w:pPr>
      <w:r>
        <w:t>88% said the story-based report took less than two hours to complete.</w:t>
      </w:r>
    </w:p>
    <w:p>
      <w:pPr>
        <w:pStyle w:val="ListBullet"/>
      </w:pPr>
      <w:r>
        <w:t>71% of rural grantees said CPCF was their only foundation funder.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COMMUNITY IMPACT REPORT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Community Impact Report</dc:title>
  <dc:subject>Community Impact Report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