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A8432A"/>
          <w:sz w:val="18"/>
        </w:rPr>
        <w:t>FINANCIAL REPORT</w:t>
      </w:r>
    </w:p>
    <w:p>
      <w:pPr>
        <w:pStyle w:val="Title"/>
        <w:spacing w:after="80"/>
      </w:pPr>
      <w:r>
        <w:t>Financial Summary, Fiscal Year 2025</w:t>
      </w:r>
    </w:p>
    <w:p>
      <w:r>
        <w:rPr>
          <w:i/>
          <w:color w:val="5F6B6E"/>
          <w:sz w:val="22"/>
        </w:rPr>
        <w:t>Fiscal year ended December 31, 2025</w:t>
      </w:r>
    </w:p>
    <w:p>
      <w:r>
        <w:rPr>
          <w:i/>
          <w:color w:val="5F6B6E"/>
          <w:sz w:val="19"/>
        </w:rPr>
        <w:t>This summary is derived from the Foundation's audited financial statements for the year ended December 31, 2025. The complete audited statements are available on request from the Chief Financial Officer.</w:t>
      </w:r>
    </w:p>
    <w:p>
      <w:pPr>
        <w:pStyle w:val="Heading1"/>
      </w:pPr>
      <w:r>
        <w:t>Statement of financial position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9C4C0"/>
          <w:left w:val="single" w:sz="4" w:space="0" w:color="B9C4C0"/>
          <w:bottom w:val="single" w:sz="4" w:space="0" w:color="B9C4C0"/>
          <w:right w:val="single" w:sz="4" w:space="0" w:color="B9C4C0"/>
          <w:insideH w:val="single" w:sz="4" w:space="0" w:color="B9C4C0"/>
          <w:insideV w:val="single" w:sz="4" w:space="0" w:color="B9C4C0"/>
        </w:tblBorders>
      </w:tblPr>
      <w:tblGrid>
        <w:gridCol w:w="4824"/>
        <w:gridCol w:w="4824"/>
      </w:tblGrid>
      <w:tr>
        <w:trPr>
          <w:tblHeader w:val="true"/>
        </w:trPr>
        <w:tc>
          <w:tcPr>
            <w:tcW w:type="dxa" w:w="6048"/>
            <w:shd w:val="clear" w:color="auto" w:fill="2F5D50"/>
          </w:tcPr>
          <w:p>
            <w:r/>
            <w:r>
              <w:rPr>
                <w:b/>
                <w:color w:val="FFFFFF"/>
                <w:sz w:val="19"/>
              </w:rPr>
              <w:t>Assets</w:t>
            </w:r>
          </w:p>
        </w:tc>
        <w:tc>
          <w:tcPr>
            <w:tcW w:type="dxa" w:w="3600"/>
            <w:shd w:val="clear" w:color="auto" w:fill="2F5D50"/>
          </w:tcPr>
          <w:p>
            <w:r/>
            <w:r>
              <w:rPr>
                <w:b/>
                <w:color w:val="FFFFFF"/>
                <w:sz w:val="19"/>
              </w:rPr>
              <w:t>December 31, 2025</w:t>
            </w:r>
          </w:p>
        </w:tc>
      </w:tr>
      <w:tr>
        <w:tc>
          <w:tcPr>
            <w:tcW w:type="dxa" w:w="6048"/>
          </w:tcPr>
          <w:p>
            <w:pPr>
              <w:spacing w:after="40"/>
            </w:pPr>
            <w:r/>
            <w:r>
              <w:rPr>
                <w:sz w:val="19"/>
              </w:rPr>
              <w:t>Cash and cash equivalents</w:t>
            </w:r>
          </w:p>
        </w:tc>
        <w:tc>
          <w:tcPr>
            <w:tcW w:type="dxa" w:w="3600"/>
          </w:tcPr>
          <w:p>
            <w:pPr>
              <w:spacing w:after="40"/>
            </w:pPr>
            <w:r/>
            <w:r>
              <w:rPr>
                <w:sz w:val="19"/>
              </w:rPr>
              <w:t>$4,100,000</w:t>
            </w:r>
          </w:p>
        </w:tc>
      </w:tr>
      <w:tr>
        <w:tc>
          <w:tcPr>
            <w:tcW w:type="dxa" w:w="6048"/>
          </w:tcPr>
          <w:p>
            <w:pPr>
              <w:spacing w:after="40"/>
            </w:pPr>
            <w:r/>
            <w:r>
              <w:rPr>
                <w:sz w:val="19"/>
              </w:rPr>
              <w:t>Investments, at fair value</w:t>
            </w:r>
          </w:p>
        </w:tc>
        <w:tc>
          <w:tcPr>
            <w:tcW w:type="dxa" w:w="3600"/>
          </w:tcPr>
          <w:p>
            <w:pPr>
              <w:spacing w:after="40"/>
            </w:pPr>
            <w:r/>
            <w:r>
              <w:rPr>
                <w:sz w:val="19"/>
              </w:rPr>
              <w:t>$160,900,000</w:t>
            </w:r>
          </w:p>
        </w:tc>
      </w:tr>
      <w:tr>
        <w:tc>
          <w:tcPr>
            <w:tcW w:type="dxa" w:w="6048"/>
          </w:tcPr>
          <w:p>
            <w:pPr>
              <w:spacing w:after="40"/>
            </w:pPr>
            <w:r/>
            <w:r>
              <w:rPr>
                <w:sz w:val="19"/>
              </w:rPr>
              <w:t>Split-interest agreements and other assets</w:t>
            </w:r>
          </w:p>
        </w:tc>
        <w:tc>
          <w:tcPr>
            <w:tcW w:type="dxa" w:w="3600"/>
          </w:tcPr>
          <w:p>
            <w:pPr>
              <w:spacing w:after="40"/>
            </w:pPr>
            <w:r/>
            <w:r>
              <w:rPr>
                <w:sz w:val="19"/>
              </w:rPr>
              <w:t>$2,600,000</w:t>
            </w:r>
          </w:p>
        </w:tc>
      </w:tr>
      <w:tr>
        <w:tc>
          <w:tcPr>
            <w:tcW w:type="dxa" w:w="6048"/>
          </w:tcPr>
          <w:p>
            <w:pPr>
              <w:spacing w:after="40"/>
            </w:pPr>
            <w:r/>
            <w:r>
              <w:rPr>
                <w:sz w:val="19"/>
              </w:rPr>
              <w:t>Property and equipment, net</w:t>
            </w:r>
          </w:p>
        </w:tc>
        <w:tc>
          <w:tcPr>
            <w:tcW w:type="dxa" w:w="3600"/>
          </w:tcPr>
          <w:p>
            <w:pPr>
              <w:spacing w:after="40"/>
            </w:pPr>
            <w:r/>
            <w:r>
              <w:rPr>
                <w:sz w:val="19"/>
              </w:rPr>
              <w:t>$800,000</w:t>
            </w:r>
          </w:p>
        </w:tc>
      </w:tr>
      <w:tr>
        <w:tc>
          <w:tcPr>
            <w:tcW w:type="dxa" w:w="6048"/>
            <w:shd w:val="clear" w:color="auto" w:fill="E8EFEC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Total assets</w:t>
            </w:r>
          </w:p>
        </w:tc>
        <w:tc>
          <w:tcPr>
            <w:tcW w:type="dxa" w:w="3600"/>
            <w:shd w:val="clear" w:color="auto" w:fill="E8EFEC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$168,400,000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9C4C0"/>
          <w:left w:val="single" w:sz="4" w:space="0" w:color="B9C4C0"/>
          <w:bottom w:val="single" w:sz="4" w:space="0" w:color="B9C4C0"/>
          <w:right w:val="single" w:sz="4" w:space="0" w:color="B9C4C0"/>
          <w:insideH w:val="single" w:sz="4" w:space="0" w:color="B9C4C0"/>
          <w:insideV w:val="single" w:sz="4" w:space="0" w:color="B9C4C0"/>
        </w:tblBorders>
      </w:tblPr>
      <w:tblGrid>
        <w:gridCol w:w="4824"/>
        <w:gridCol w:w="4824"/>
      </w:tblGrid>
      <w:tr>
        <w:trPr>
          <w:tblHeader w:val="true"/>
        </w:trPr>
        <w:tc>
          <w:tcPr>
            <w:tcW w:type="dxa" w:w="6048"/>
            <w:shd w:val="clear" w:color="auto" w:fill="2F5D50"/>
          </w:tcPr>
          <w:p>
            <w:r/>
            <w:r>
              <w:rPr>
                <w:b/>
                <w:color w:val="FFFFFF"/>
                <w:sz w:val="19"/>
              </w:rPr>
              <w:t>Liabilities</w:t>
            </w:r>
          </w:p>
        </w:tc>
        <w:tc>
          <w:tcPr>
            <w:tcW w:type="dxa" w:w="3600"/>
            <w:shd w:val="clear" w:color="auto" w:fill="2F5D50"/>
          </w:tcPr>
          <w:p>
            <w:r/>
            <w:r>
              <w:rPr>
                <w:b/>
                <w:color w:val="FFFFFF"/>
                <w:sz w:val="19"/>
              </w:rPr>
              <w:t>December 31, 2025</w:t>
            </w:r>
          </w:p>
        </w:tc>
      </w:tr>
      <w:tr>
        <w:tc>
          <w:tcPr>
            <w:tcW w:type="dxa" w:w="6048"/>
          </w:tcPr>
          <w:p>
            <w:pPr>
              <w:spacing w:after="40"/>
            </w:pPr>
            <w:r/>
            <w:r>
              <w:rPr>
                <w:sz w:val="19"/>
              </w:rPr>
              <w:t>Grants payable</w:t>
            </w:r>
          </w:p>
        </w:tc>
        <w:tc>
          <w:tcPr>
            <w:tcW w:type="dxa" w:w="3600"/>
          </w:tcPr>
          <w:p>
            <w:pPr>
              <w:spacing w:after="40"/>
            </w:pPr>
            <w:r/>
            <w:r>
              <w:rPr>
                <w:sz w:val="19"/>
              </w:rPr>
              <w:t>$1,900,000</w:t>
            </w:r>
          </w:p>
        </w:tc>
      </w:tr>
      <w:tr>
        <w:tc>
          <w:tcPr>
            <w:tcW w:type="dxa" w:w="6048"/>
          </w:tcPr>
          <w:p>
            <w:pPr>
              <w:spacing w:after="40"/>
            </w:pPr>
            <w:r/>
            <w:r>
              <w:rPr>
                <w:sz w:val="19"/>
              </w:rPr>
              <w:t>Agency endowment funds held for nonprofits</w:t>
            </w:r>
          </w:p>
        </w:tc>
        <w:tc>
          <w:tcPr>
            <w:tcW w:type="dxa" w:w="3600"/>
          </w:tcPr>
          <w:p>
            <w:pPr>
              <w:spacing w:after="40"/>
            </w:pPr>
            <w:r/>
            <w:r>
              <w:rPr>
                <w:sz w:val="19"/>
              </w:rPr>
              <w:t>$9,600,000</w:t>
            </w:r>
          </w:p>
        </w:tc>
      </w:tr>
      <w:tr>
        <w:tc>
          <w:tcPr>
            <w:tcW w:type="dxa" w:w="6048"/>
          </w:tcPr>
          <w:p>
            <w:pPr>
              <w:spacing w:after="40"/>
            </w:pPr>
            <w:r/>
            <w:r>
              <w:rPr>
                <w:sz w:val="19"/>
              </w:rPr>
              <w:t>Accounts payable and other liabilities</w:t>
            </w:r>
          </w:p>
        </w:tc>
        <w:tc>
          <w:tcPr>
            <w:tcW w:type="dxa" w:w="3600"/>
          </w:tcPr>
          <w:p>
            <w:pPr>
              <w:spacing w:after="40"/>
            </w:pPr>
            <w:r/>
            <w:r>
              <w:rPr>
                <w:sz w:val="19"/>
              </w:rPr>
              <w:t>$400,000</w:t>
            </w:r>
          </w:p>
        </w:tc>
      </w:tr>
      <w:tr>
        <w:tc>
          <w:tcPr>
            <w:tcW w:type="dxa" w:w="6048"/>
            <w:shd w:val="clear" w:color="auto" w:fill="E8EFEC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Total liabilities</w:t>
            </w:r>
          </w:p>
        </w:tc>
        <w:tc>
          <w:tcPr>
            <w:tcW w:type="dxa" w:w="3600"/>
            <w:shd w:val="clear" w:color="auto" w:fill="E8EFEC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$11,900,000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9C4C0"/>
          <w:left w:val="single" w:sz="4" w:space="0" w:color="B9C4C0"/>
          <w:bottom w:val="single" w:sz="4" w:space="0" w:color="B9C4C0"/>
          <w:right w:val="single" w:sz="4" w:space="0" w:color="B9C4C0"/>
          <w:insideH w:val="single" w:sz="4" w:space="0" w:color="B9C4C0"/>
          <w:insideV w:val="single" w:sz="4" w:space="0" w:color="B9C4C0"/>
        </w:tblBorders>
      </w:tblPr>
      <w:tblGrid>
        <w:gridCol w:w="4824"/>
        <w:gridCol w:w="4824"/>
      </w:tblGrid>
      <w:tr>
        <w:trPr>
          <w:tblHeader w:val="true"/>
        </w:trPr>
        <w:tc>
          <w:tcPr>
            <w:tcW w:type="dxa" w:w="6048"/>
            <w:shd w:val="clear" w:color="auto" w:fill="2F5D50"/>
          </w:tcPr>
          <w:p>
            <w:r/>
            <w:r>
              <w:rPr>
                <w:b/>
                <w:color w:val="FFFFFF"/>
                <w:sz w:val="19"/>
              </w:rPr>
              <w:t>Net assets</w:t>
            </w:r>
          </w:p>
        </w:tc>
        <w:tc>
          <w:tcPr>
            <w:tcW w:type="dxa" w:w="3600"/>
            <w:shd w:val="clear" w:color="auto" w:fill="2F5D50"/>
          </w:tcPr>
          <w:p>
            <w:r/>
            <w:r>
              <w:rPr>
                <w:b/>
                <w:color w:val="FFFFFF"/>
                <w:sz w:val="19"/>
              </w:rPr>
              <w:t>December 31, 2025</w:t>
            </w:r>
          </w:p>
        </w:tc>
      </w:tr>
      <w:tr>
        <w:tc>
          <w:tcPr>
            <w:tcW w:type="dxa" w:w="6048"/>
          </w:tcPr>
          <w:p>
            <w:pPr>
              <w:spacing w:after="40"/>
            </w:pPr>
            <w:r/>
            <w:r>
              <w:rPr>
                <w:sz w:val="19"/>
              </w:rPr>
              <w:t>Without donor restrictions</w:t>
            </w:r>
          </w:p>
        </w:tc>
        <w:tc>
          <w:tcPr>
            <w:tcW w:type="dxa" w:w="3600"/>
          </w:tcPr>
          <w:p>
            <w:pPr>
              <w:spacing w:after="40"/>
            </w:pPr>
            <w:r/>
            <w:r>
              <w:rPr>
                <w:sz w:val="19"/>
              </w:rPr>
              <w:t>$121,300,000</w:t>
            </w:r>
          </w:p>
        </w:tc>
      </w:tr>
      <w:tr>
        <w:tc>
          <w:tcPr>
            <w:tcW w:type="dxa" w:w="6048"/>
          </w:tcPr>
          <w:p>
            <w:pPr>
              <w:spacing w:after="40"/>
            </w:pPr>
            <w:r/>
            <w:r>
              <w:rPr>
                <w:sz w:val="19"/>
              </w:rPr>
              <w:t>With donor restrictions</w:t>
            </w:r>
          </w:p>
        </w:tc>
        <w:tc>
          <w:tcPr>
            <w:tcW w:type="dxa" w:w="3600"/>
          </w:tcPr>
          <w:p>
            <w:pPr>
              <w:spacing w:after="40"/>
            </w:pPr>
            <w:r/>
            <w:r>
              <w:rPr>
                <w:sz w:val="19"/>
              </w:rPr>
              <w:t>$35,200,000</w:t>
            </w:r>
          </w:p>
        </w:tc>
      </w:tr>
      <w:tr>
        <w:tc>
          <w:tcPr>
            <w:tcW w:type="dxa" w:w="6048"/>
            <w:shd w:val="clear" w:color="auto" w:fill="E8EFEC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Total net assets</w:t>
            </w:r>
          </w:p>
        </w:tc>
        <w:tc>
          <w:tcPr>
            <w:tcW w:type="dxa" w:w="3600"/>
            <w:shd w:val="clear" w:color="auto" w:fill="E8EFEC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$156,500,000</w:t>
            </w:r>
          </w:p>
        </w:tc>
      </w:tr>
    </w:tbl>
    <w:p>
      <w:pPr>
        <w:spacing w:after="40"/>
      </w:pPr>
    </w:p>
    <w:p>
      <w:pPr>
        <w:pStyle w:val="Heading1"/>
      </w:pPr>
      <w:r>
        <w:t>Statement of activities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9C4C0"/>
          <w:left w:val="single" w:sz="4" w:space="0" w:color="B9C4C0"/>
          <w:bottom w:val="single" w:sz="4" w:space="0" w:color="B9C4C0"/>
          <w:right w:val="single" w:sz="4" w:space="0" w:color="B9C4C0"/>
          <w:insideH w:val="single" w:sz="4" w:space="0" w:color="B9C4C0"/>
          <w:insideV w:val="single" w:sz="4" w:space="0" w:color="B9C4C0"/>
        </w:tblBorders>
      </w:tblPr>
      <w:tblGrid>
        <w:gridCol w:w="4824"/>
        <w:gridCol w:w="4824"/>
      </w:tblGrid>
      <w:tr>
        <w:trPr>
          <w:tblHeader w:val="true"/>
        </w:trPr>
        <w:tc>
          <w:tcPr>
            <w:tcW w:type="dxa" w:w="6048"/>
            <w:shd w:val="clear" w:color="auto" w:fill="2F5D50"/>
          </w:tcPr>
          <w:p>
            <w:r/>
            <w:r>
              <w:rPr>
                <w:b/>
                <w:color w:val="FFFFFF"/>
                <w:sz w:val="19"/>
              </w:rPr>
            </w:r>
          </w:p>
        </w:tc>
        <w:tc>
          <w:tcPr>
            <w:tcW w:type="dxa" w:w="3600"/>
            <w:shd w:val="clear" w:color="auto" w:fill="2F5D50"/>
          </w:tcPr>
          <w:p>
            <w:r/>
            <w:r>
              <w:rPr>
                <w:b/>
                <w:color w:val="FFFFFF"/>
                <w:sz w:val="19"/>
              </w:rPr>
              <w:t>2025</w:t>
            </w:r>
          </w:p>
        </w:tc>
      </w:tr>
      <w:tr>
        <w:tc>
          <w:tcPr>
            <w:tcW w:type="dxa" w:w="6048"/>
            <w:shd w:val="clear" w:color="auto" w:fill="F4EEE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Contributions</w:t>
            </w:r>
          </w:p>
        </w:tc>
        <w:tc>
          <w:tcPr>
            <w:tcW w:type="dxa" w:w="3600"/>
          </w:tcPr>
          <w:p>
            <w:pPr>
              <w:spacing w:after="40"/>
            </w:pPr>
            <w:r/>
            <w:r>
              <w:rPr>
                <w:sz w:val="19"/>
              </w:rPr>
              <w:t>$14,200,000</w:t>
            </w:r>
          </w:p>
        </w:tc>
      </w:tr>
      <w:tr>
        <w:tc>
          <w:tcPr>
            <w:tcW w:type="dxa" w:w="6048"/>
            <w:shd w:val="clear" w:color="auto" w:fill="F4EEE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Investment return, net</w:t>
            </w:r>
          </w:p>
        </w:tc>
        <w:tc>
          <w:tcPr>
            <w:tcW w:type="dxa" w:w="3600"/>
          </w:tcPr>
          <w:p>
            <w:pPr>
              <w:spacing w:after="40"/>
            </w:pPr>
            <w:r/>
            <w:r>
              <w:rPr>
                <w:sz w:val="19"/>
              </w:rPr>
              <w:t>$16,800,000</w:t>
            </w:r>
          </w:p>
        </w:tc>
      </w:tr>
      <w:tr>
        <w:tc>
          <w:tcPr>
            <w:tcW w:type="dxa" w:w="6048"/>
            <w:shd w:val="clear" w:color="auto" w:fill="F4EEE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Fees and other income</w:t>
            </w:r>
          </w:p>
        </w:tc>
        <w:tc>
          <w:tcPr>
            <w:tcW w:type="dxa" w:w="3600"/>
          </w:tcPr>
          <w:p>
            <w:pPr>
              <w:spacing w:after="40"/>
            </w:pPr>
            <w:r/>
            <w:r>
              <w:rPr>
                <w:sz w:val="19"/>
              </w:rPr>
              <w:t>$300,000</w:t>
            </w:r>
          </w:p>
        </w:tc>
      </w:tr>
      <w:tr>
        <w:tc>
          <w:tcPr>
            <w:tcW w:type="dxa" w:w="6048"/>
            <w:shd w:val="clear" w:color="auto" w:fill="F4EEE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Total revenue</w:t>
            </w:r>
          </w:p>
        </w:tc>
        <w:tc>
          <w:tcPr>
            <w:tcW w:type="dxa" w:w="3600"/>
          </w:tcPr>
          <w:p>
            <w:pPr>
              <w:spacing w:after="40"/>
            </w:pPr>
            <w:r/>
            <w:r>
              <w:rPr>
                <w:sz w:val="19"/>
              </w:rPr>
              <w:t>$31,300,000</w:t>
            </w:r>
          </w:p>
        </w:tc>
      </w:tr>
      <w:tr>
        <w:tc>
          <w:tcPr>
            <w:tcW w:type="dxa" w:w="6048"/>
            <w:shd w:val="clear" w:color="auto" w:fill="F4EEE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Grants</w:t>
            </w:r>
          </w:p>
        </w:tc>
        <w:tc>
          <w:tcPr>
            <w:tcW w:type="dxa" w:w="3600"/>
          </w:tcPr>
          <w:p>
            <w:pPr>
              <w:spacing w:after="40"/>
            </w:pPr>
            <w:r/>
            <w:r>
              <w:rPr>
                <w:sz w:val="19"/>
              </w:rPr>
              <w:t>$7,846,000</w:t>
            </w:r>
          </w:p>
        </w:tc>
      </w:tr>
      <w:tr>
        <w:tc>
          <w:tcPr>
            <w:tcW w:type="dxa" w:w="6048"/>
            <w:shd w:val="clear" w:color="auto" w:fill="F4EEE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Program services</w:t>
            </w:r>
          </w:p>
        </w:tc>
        <w:tc>
          <w:tcPr>
            <w:tcW w:type="dxa" w:w="3600"/>
          </w:tcPr>
          <w:p>
            <w:pPr>
              <w:spacing w:after="40"/>
            </w:pPr>
            <w:r/>
            <w:r>
              <w:rPr>
                <w:sz w:val="19"/>
              </w:rPr>
              <w:t>$1,120,000</w:t>
            </w:r>
          </w:p>
        </w:tc>
      </w:tr>
      <w:tr>
        <w:tc>
          <w:tcPr>
            <w:tcW w:type="dxa" w:w="6048"/>
            <w:shd w:val="clear" w:color="auto" w:fill="F4EEE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Management and general</w:t>
            </w:r>
          </w:p>
        </w:tc>
        <w:tc>
          <w:tcPr>
            <w:tcW w:type="dxa" w:w="3600"/>
          </w:tcPr>
          <w:p>
            <w:pPr>
              <w:spacing w:after="40"/>
            </w:pPr>
            <w:r/>
            <w:r>
              <w:rPr>
                <w:sz w:val="19"/>
              </w:rPr>
              <w:t>$940,000</w:t>
            </w:r>
          </w:p>
        </w:tc>
      </w:tr>
      <w:tr>
        <w:tc>
          <w:tcPr>
            <w:tcW w:type="dxa" w:w="6048"/>
            <w:shd w:val="clear" w:color="auto" w:fill="F4EEE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Fundraising</w:t>
            </w:r>
          </w:p>
        </w:tc>
        <w:tc>
          <w:tcPr>
            <w:tcW w:type="dxa" w:w="3600"/>
          </w:tcPr>
          <w:p>
            <w:pPr>
              <w:spacing w:after="40"/>
            </w:pPr>
            <w:r/>
            <w:r>
              <w:rPr>
                <w:sz w:val="19"/>
              </w:rPr>
              <w:t>$610,000</w:t>
            </w:r>
          </w:p>
        </w:tc>
      </w:tr>
      <w:tr>
        <w:tc>
          <w:tcPr>
            <w:tcW w:type="dxa" w:w="6048"/>
            <w:shd w:val="clear" w:color="auto" w:fill="F4EEE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Total expenses</w:t>
            </w:r>
          </w:p>
        </w:tc>
        <w:tc>
          <w:tcPr>
            <w:tcW w:type="dxa" w:w="3600"/>
          </w:tcPr>
          <w:p>
            <w:pPr>
              <w:spacing w:after="40"/>
            </w:pPr>
            <w:r/>
            <w:r>
              <w:rPr>
                <w:sz w:val="19"/>
              </w:rPr>
              <w:t>$10,516,000</w:t>
            </w:r>
          </w:p>
        </w:tc>
      </w:tr>
      <w:tr>
        <w:tc>
          <w:tcPr>
            <w:tcW w:type="dxa" w:w="6048"/>
            <w:shd w:val="clear" w:color="auto" w:fill="F4EEE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Change in net assets</w:t>
            </w:r>
          </w:p>
        </w:tc>
        <w:tc>
          <w:tcPr>
            <w:tcW w:type="dxa" w:w="3600"/>
          </w:tcPr>
          <w:p>
            <w:pPr>
              <w:spacing w:after="40"/>
            </w:pPr>
            <w:r/>
            <w:r>
              <w:rPr>
                <w:sz w:val="19"/>
              </w:rPr>
              <w:t>$20,784,000</w:t>
            </w:r>
          </w:p>
        </w:tc>
      </w:tr>
    </w:tbl>
    <w:p>
      <w:pPr>
        <w:spacing w:after="40"/>
      </w:pPr>
    </w:p>
    <w:p>
      <w:pPr>
        <w:pStyle w:val="Heading1"/>
      </w:pPr>
      <w:r>
        <w:t>Funds by type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9C4C0"/>
          <w:left w:val="single" w:sz="4" w:space="0" w:color="B9C4C0"/>
          <w:bottom w:val="single" w:sz="4" w:space="0" w:color="B9C4C0"/>
          <w:right w:val="single" w:sz="4" w:space="0" w:color="B9C4C0"/>
          <w:insideH w:val="single" w:sz="4" w:space="0" w:color="B9C4C0"/>
          <w:insideV w:val="single" w:sz="4" w:space="0" w:color="B9C4C0"/>
        </w:tblBorders>
      </w:tblPr>
      <w:tblGrid>
        <w:gridCol w:w="4824"/>
        <w:gridCol w:w="4824"/>
      </w:tblGrid>
      <w:tr>
        <w:trPr>
          <w:tblHeader w:val="true"/>
        </w:trPr>
        <w:tc>
          <w:tcPr>
            <w:tcW w:type="dxa" w:w="6048"/>
            <w:shd w:val="clear" w:color="auto" w:fill="2F5D50"/>
          </w:tcPr>
          <w:p>
            <w:r/>
            <w:r>
              <w:rPr>
                <w:b/>
                <w:color w:val="FFFFFF"/>
                <w:sz w:val="19"/>
              </w:rPr>
              <w:t>Fund type</w:t>
            </w:r>
          </w:p>
        </w:tc>
        <w:tc>
          <w:tcPr>
            <w:tcW w:type="dxa" w:w="3600"/>
            <w:shd w:val="clear" w:color="auto" w:fill="2F5D50"/>
          </w:tcPr>
          <w:p>
            <w:r/>
            <w:r>
              <w:rPr>
                <w:b/>
                <w:color w:val="FFFFFF"/>
                <w:sz w:val="19"/>
              </w:rPr>
              <w:t>Number of funds</w:t>
            </w:r>
          </w:p>
        </w:tc>
      </w:tr>
      <w:tr>
        <w:tc>
          <w:tcPr>
            <w:tcW w:type="dxa" w:w="6048"/>
          </w:tcPr>
          <w:p>
            <w:pPr>
              <w:spacing w:after="40"/>
            </w:pPr>
            <w:r/>
            <w:r>
              <w:rPr>
                <w:sz w:val="19"/>
              </w:rPr>
              <w:t>Donor-advised funds</w:t>
            </w:r>
          </w:p>
        </w:tc>
        <w:tc>
          <w:tcPr>
            <w:tcW w:type="dxa" w:w="3600"/>
          </w:tcPr>
          <w:p>
            <w:pPr>
              <w:spacing w:after="40"/>
            </w:pPr>
            <w:r/>
            <w:r>
              <w:rPr>
                <w:sz w:val="19"/>
              </w:rPr>
              <w:t>142</w:t>
            </w:r>
          </w:p>
        </w:tc>
      </w:tr>
      <w:tr>
        <w:tc>
          <w:tcPr>
            <w:tcW w:type="dxa" w:w="6048"/>
          </w:tcPr>
          <w:p>
            <w:pPr>
              <w:spacing w:after="40"/>
            </w:pPr>
            <w:r/>
            <w:r>
              <w:rPr>
                <w:sz w:val="19"/>
              </w:rPr>
              <w:t>Designated funds</w:t>
            </w:r>
          </w:p>
        </w:tc>
        <w:tc>
          <w:tcPr>
            <w:tcW w:type="dxa" w:w="3600"/>
          </w:tcPr>
          <w:p>
            <w:pPr>
              <w:spacing w:after="40"/>
            </w:pPr>
            <w:r/>
            <w:r>
              <w:rPr>
                <w:sz w:val="19"/>
              </w:rPr>
              <w:t>51</w:t>
            </w:r>
          </w:p>
        </w:tc>
      </w:tr>
      <w:tr>
        <w:tc>
          <w:tcPr>
            <w:tcW w:type="dxa" w:w="6048"/>
          </w:tcPr>
          <w:p>
            <w:pPr>
              <w:spacing w:after="40"/>
            </w:pPr>
            <w:r/>
            <w:r>
              <w:rPr>
                <w:sz w:val="19"/>
              </w:rPr>
              <w:t>Scholarship funds</w:t>
            </w:r>
          </w:p>
        </w:tc>
        <w:tc>
          <w:tcPr>
            <w:tcW w:type="dxa" w:w="3600"/>
          </w:tcPr>
          <w:p>
            <w:pPr>
              <w:spacing w:after="40"/>
            </w:pPr>
            <w:r/>
            <w:r>
              <w:rPr>
                <w:sz w:val="19"/>
              </w:rPr>
              <w:t>44</w:t>
            </w:r>
          </w:p>
        </w:tc>
      </w:tr>
      <w:tr>
        <w:tc>
          <w:tcPr>
            <w:tcW w:type="dxa" w:w="6048"/>
          </w:tcPr>
          <w:p>
            <w:pPr>
              <w:spacing w:after="40"/>
            </w:pPr>
            <w:r/>
            <w:r>
              <w:rPr>
                <w:sz w:val="19"/>
              </w:rPr>
              <w:t>Field-of-interest funds</w:t>
            </w:r>
          </w:p>
        </w:tc>
        <w:tc>
          <w:tcPr>
            <w:tcW w:type="dxa" w:w="3600"/>
          </w:tcPr>
          <w:p>
            <w:pPr>
              <w:spacing w:after="40"/>
            </w:pPr>
            <w:r/>
            <w:r>
              <w:rPr>
                <w:sz w:val="19"/>
              </w:rPr>
              <w:t>38</w:t>
            </w:r>
          </w:p>
        </w:tc>
      </w:tr>
      <w:tr>
        <w:tc>
          <w:tcPr>
            <w:tcW w:type="dxa" w:w="6048"/>
          </w:tcPr>
          <w:p>
            <w:pPr>
              <w:spacing w:after="40"/>
            </w:pPr>
            <w:r/>
            <w:r>
              <w:rPr>
                <w:sz w:val="19"/>
              </w:rPr>
              <w:t>Agency endowment funds</w:t>
            </w:r>
          </w:p>
        </w:tc>
        <w:tc>
          <w:tcPr>
            <w:tcW w:type="dxa" w:w="3600"/>
          </w:tcPr>
          <w:p>
            <w:pPr>
              <w:spacing w:after="40"/>
            </w:pPr>
            <w:r/>
            <w:r>
              <w:rPr>
                <w:sz w:val="19"/>
              </w:rPr>
              <w:t>29</w:t>
            </w:r>
          </w:p>
        </w:tc>
      </w:tr>
      <w:tr>
        <w:tc>
          <w:tcPr>
            <w:tcW w:type="dxa" w:w="6048"/>
          </w:tcPr>
          <w:p>
            <w:pPr>
              <w:spacing w:after="40"/>
            </w:pPr>
            <w:r/>
            <w:r>
              <w:rPr>
                <w:sz w:val="19"/>
              </w:rPr>
              <w:t>Unrestricted community funds</w:t>
            </w:r>
          </w:p>
        </w:tc>
        <w:tc>
          <w:tcPr>
            <w:tcW w:type="dxa" w:w="3600"/>
          </w:tcPr>
          <w:p>
            <w:pPr>
              <w:spacing w:after="40"/>
            </w:pPr>
            <w:r/>
            <w:r>
              <w:rPr>
                <w:sz w:val="19"/>
              </w:rPr>
              <w:t>6</w:t>
            </w:r>
          </w:p>
        </w:tc>
      </w:tr>
      <w:tr>
        <w:tc>
          <w:tcPr>
            <w:tcW w:type="dxa" w:w="6048"/>
            <w:shd w:val="clear" w:color="auto" w:fill="E8EFEC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Total</w:t>
            </w:r>
          </w:p>
        </w:tc>
        <w:tc>
          <w:tcPr>
            <w:tcW w:type="dxa" w:w="3600"/>
            <w:shd w:val="clear" w:color="auto" w:fill="E8EFEC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310</w:t>
            </w:r>
          </w:p>
        </w:tc>
      </w:tr>
    </w:tbl>
    <w:p>
      <w:pPr>
        <w:spacing w:after="40"/>
      </w:pPr>
    </w:p>
    <w:p>
      <w:pPr>
        <w:pStyle w:val="Heading1"/>
      </w:pPr>
      <w:r>
        <w:t>Investment and spending policy</w:t>
      </w:r>
    </w:p>
    <w:p>
      <w:r>
        <w:rPr>
          <w:i w:val="0"/>
        </w:rPr>
        <w:t>Endowed funds are invested in a diversified long-term pool overseen by the Finance &amp; Investment Committee. The annual spending rate is 4.5 percent of each fund's average market value over the previous 16 quarters, which balances current grantmaking with long-term growth. The Foundation's administrative fee ranges from 0.5 to 1.5 percent depending on fund type and size.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E8EFEC"/>
          </w:tcPr>
          <w:p>
            <w:r>
              <w:rPr>
                <w:b/>
                <w:color w:val="2F5D50"/>
              </w:rPr>
              <w:t>Questions?</w:t>
            </w:r>
          </w:p>
          <w:p>
            <w:r>
              <w:t>Corinne Abernathy, CPA, Chief Financial Officer</w:t>
            </w:r>
          </w:p>
          <w:p>
            <w:r>
              <w:t>Email: cabernathy@cinderpeakscf.org   ·   Phone: (928) 555-0147 ext. 105</w:t>
            </w:r>
          </w:p>
          <w:p>
            <w:r>
              <w:t>Cinder Peaks Community Foundation, 1120 N. Cinder Basin Road, Suite 200, Flagstaff, AZ 86001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224" w:right="1296" w:bottom="1152" w:left="1296" w:header="576" w:footer="57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F6B6E"/>
        <w:sz w:val="15"/>
      </w:rPr>
      <w:t>Cinder Peaks Community Foundation  ·  1120 N. Cinder Basin Road, Suite 200, Flagstaff, AZ 86001  ·  (928) 555-0147  ·  grants@cinderpeakscf.org</w:t>
    </w:r>
  </w:p>
  <w:p>
    <w:pPr>
      <w:jc w:val="center"/>
    </w:pPr>
    <w:r>
      <w:rPr>
        <w:sz w:val="15"/>
      </w:rPr>
      <w:t xml:space="preserve">Page </w:t>
    </w:r>
    <w:r>
      <w:rPr>
        <w:sz w:val="15"/>
      </w:rPr>
      <w:fldChar w:fldCharType="begin"/>
      <w:instrText xml:space="preserve">PAGE</w:instrText>
      <w:fldChar w:fldCharType="end"/>
    </w:r>
    <w:r>
      <w:rPr>
        <w:sz w:val="15"/>
      </w:rPr>
      <w:t xml:space="preserve"> of </w:t>
    </w:r>
    <w:r>
      <w:rPr>
        <w:sz w:val="15"/>
      </w:rPr>
      <w:fldChar w:fldCharType="begin"/>
      <w:instrText xml:space="preserve">NUMPAGES</w:instrText>
      <w:fldChar w:fldCharType="end"/>
    </w:r>
    <w:r>
      <w:rPr>
        <w:color w:val="5F6B6E"/>
        <w:sz w:val="13"/>
      </w:rPr>
      <w:t xml:space="preserve">   ·   A fictional organization created for website demonstration and testing.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  <w:r>
      <w:drawing>
        <wp:inline xmlns:a="http://schemas.openxmlformats.org/drawingml/2006/main" xmlns:pic="http://schemas.openxmlformats.org/drawingml/2006/picture">
          <wp:extent cx="1395374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doc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395374" cy="384048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5F6B6E"/>
        <w:sz w:val="16"/>
      </w:rPr>
      <w:tab/>
      <w:tab/>
      <w:t>FINANCIAL REPORT</w:t>
    </w:r>
  </w:p>
  <w:p>
    <w:pPr>
      <w:pBdr>
        <w:bottom w:val="single" w:sz="8" w:space="1" w:color="A8432A"/>
      </w:pBdr>
      <w:spacing w:after="0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 w:cs="Calibri" w:eastAsia="Calibri"/>
      <w:color w:val="1F2A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80"/>
      <w:outlineLvl w:val="0"/>
    </w:pPr>
    <w:rPr>
      <w:rFonts w:asciiTheme="majorHAnsi" w:eastAsiaTheme="majorEastAsia" w:hAnsiTheme="majorHAnsi" w:cstheme="majorBidi" w:ascii="Cambria" w:hAnsi="Cambria" w:cs="Cambria" w:eastAsia="Cambria"/>
      <w:b/>
      <w:bCs/>
      <w:color w:val="A8432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mbria" w:hAnsi="Cambria" w:cs="Cambria" w:eastAsia="Cambria"/>
      <w:b/>
      <w:bCs/>
      <w:color w:val="2F5D5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cs="Calibri" w:eastAsia="Calibri"/>
      <w:b/>
      <w:bCs/>
      <w:color w:val="1F2A2E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mbria" w:hAnsi="Cambria" w:cs="Cambria" w:eastAsia="Cambria"/>
      <w:b/>
      <w:color w:val="1F2A2E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Calibri" w:hAnsi="Calibri" w:cs="Calibri" w:eastAsia="Calibri"/>
      <w:color w:val="1F2A2E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contextualSpacing/>
    </w:pPr>
    <w:rPr>
      <w:rFonts w:ascii="Calibri" w:hAnsi="Calibri" w:cs="Calibri" w:eastAsia="Calibri"/>
      <w:color w:val="1F2A2E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Financial Summary, Fiscal Year 2025</dc:title>
  <dc:subject>Financial Report</dc:subject>
  <dc:creator>Cinder Peaks Community Foundation</dc:creator>
  <cp:keywords>Cinder Peaks Community Foundation; grants; northern Arizona</cp:keywords>
  <dc:description>Site Version 1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