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j3h3vz5k5o6l" w:id="0"/>
      <w:bookmarkEnd w:id="0"/>
      <w:r w:rsidDel="00000000" w:rsidR="00000000" w:rsidRPr="00000000">
        <w:rPr>
          <w:sz w:val="40"/>
          <w:szCs w:val="40"/>
          <w:rtl w:val="0"/>
        </w:rPr>
        <w:t xml:space="preserve">GHIF Practical guidelines for quality control of WGS results in population-scale initiatives</w:t>
      </w:r>
    </w:p>
    <w:p w:rsidR="00000000" w:rsidDel="00000000" w:rsidP="00000000" w:rsidRDefault="00000000" w:rsidRPr="00000000" w14:paraId="00000002">
      <w:pPr>
        <w:pStyle w:val="Subtitle"/>
        <w:rPr/>
      </w:pPr>
      <w:bookmarkStart w:colFirst="0" w:colLast="0" w:name="_me4bnrulq4e2" w:id="1"/>
      <w:bookmarkEnd w:id="1"/>
      <w:r w:rsidDel="00000000" w:rsidR="00000000" w:rsidRPr="00000000">
        <w:rPr>
          <w:rtl w:val="0"/>
        </w:rPr>
        <w:t xml:space="preserve">Metric definitions</w:t>
      </w:r>
    </w:p>
    <w:p w:rsidR="00000000" w:rsidDel="00000000" w:rsidP="00000000" w:rsidRDefault="00000000" w:rsidRPr="00000000" w14:paraId="00000003">
      <w:pPr>
        <w:rPr/>
      </w:pPr>
      <w:r w:rsidDel="00000000" w:rsidR="00000000" w:rsidRPr="00000000">
        <w:rPr>
          <w:rtl w:val="0"/>
        </w:rPr>
        <w:t xml:space="preserve">In this document, the GHIF WGS QC workgroup intends to identify a set of key QC metrics and spell out their detailed definitions. Whilst doing so, we expect to encounter recurrent information fields that apply to many metrics. Those can then be used as the basis for standardised guidelines for reporting QC metrics.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pPr>
      <w:bookmarkStart w:colFirst="0" w:colLast="0" w:name="_i0o9kcvunl63" w:id="2"/>
      <w:bookmarkEnd w:id="2"/>
      <w:r w:rsidDel="00000000" w:rsidR="00000000" w:rsidRPr="00000000">
        <w:rPr>
          <w:rtl w:val="0"/>
        </w:rPr>
        <w:t xml:space="preserve">General notes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The document is just a first draft to capture conversations from our regular meetings. It provides some templated sections as a guide, but those may not be exhaustive. As such, feel free to make as many changes as needed; we can always recover previous versions of the document using the file history.</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 terms of scope, the workgroup has agreed to focus on </w:t>
      </w:r>
      <w:commentRangeStart w:id="0"/>
      <w:commentRangeStart w:id="1"/>
      <w:r w:rsidDel="00000000" w:rsidR="00000000" w:rsidRPr="00000000">
        <w:rPr>
          <w:i w:val="1"/>
          <w:rtl w:val="0"/>
        </w:rPr>
        <w:t xml:space="preserve">germline WGS QC</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first. While all of the workgroup participants are working with </w:t>
      </w:r>
      <w:r w:rsidDel="00000000" w:rsidR="00000000" w:rsidRPr="00000000">
        <w:rPr>
          <w:i w:val="1"/>
          <w:rtl w:val="0"/>
        </w:rPr>
        <w:t xml:space="preserve">short-read data</w:t>
      </w:r>
      <w:r w:rsidDel="00000000" w:rsidR="00000000" w:rsidRPr="00000000">
        <w:rPr>
          <w:rtl w:val="0"/>
        </w:rPr>
        <w:t xml:space="preserve"> at the moment, we wish to make the definitions general enough to be applicable to other technologies as well. The workgroup also acknowledges that there are multiple stages in the analysis pipeline at which one may want to perform QC (e.g. post-FASTQ generation, post-alignment, post-variant calling). For the first iteration of the guidelines, the workgroup has agreed to focus on metrics that can be obtained from a </w:t>
      </w:r>
      <w:r w:rsidDel="00000000" w:rsidR="00000000" w:rsidRPr="00000000">
        <w:rPr>
          <w:i w:val="1"/>
          <w:rtl w:val="0"/>
        </w:rPr>
        <w:t xml:space="preserve">BAM/CRAM file</w:t>
      </w:r>
      <w:r w:rsidDel="00000000" w:rsidR="00000000" w:rsidRPr="00000000">
        <w:rPr>
          <w:rtl w:val="0"/>
        </w:rPr>
        <w:t xml:space="preserve">. Thus, metrics such as contamination or variant counts remain out of scope at the moment.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4"/>
        <w:rPr/>
      </w:pPr>
      <w:bookmarkStart w:colFirst="0" w:colLast="0" w:name="_u7hre78x511y" w:id="3"/>
      <w:bookmarkEnd w:id="3"/>
      <w:r w:rsidDel="00000000" w:rsidR="00000000" w:rsidRPr="00000000">
        <w:rPr>
          <w:rtl w:val="0"/>
        </w:rPr>
        <w:t xml:space="preserve">Controlled vocabulary</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section lists several example metrics in an attempt to capture which fields would be required to accurately describe how each metric has been calculated. When defining each metric, we attempt to align to the following general template:</w:t>
      </w:r>
    </w:p>
    <w:p w:rsidR="00000000" w:rsidDel="00000000" w:rsidP="00000000" w:rsidRDefault="00000000" w:rsidRPr="00000000" w14:paraId="0000000A">
      <w:pPr>
        <w:numPr>
          <w:ilvl w:val="0"/>
          <w:numId w:val="1"/>
        </w:numPr>
        <w:ind w:left="720" w:hanging="360"/>
        <w:rPr>
          <w:color w:val="000000"/>
        </w:rPr>
      </w:pPr>
      <w:r w:rsidDel="00000000" w:rsidR="00000000" w:rsidRPr="00000000">
        <w:rPr>
          <w:rtl w:val="0"/>
        </w:rPr>
        <w:t xml:space="preserve">Id (mandatory): metric_id</w:t>
      </w:r>
    </w:p>
    <w:p w:rsidR="00000000" w:rsidDel="00000000" w:rsidP="00000000" w:rsidRDefault="00000000" w:rsidRPr="00000000" w14:paraId="0000000B">
      <w:pPr>
        <w:numPr>
          <w:ilvl w:val="0"/>
          <w:numId w:val="1"/>
        </w:numPr>
        <w:ind w:left="720" w:hanging="360"/>
        <w:rPr>
          <w:color w:val="000000"/>
        </w:rPr>
      </w:pPr>
      <w:r w:rsidDel="00000000" w:rsidR="00000000" w:rsidRPr="00000000">
        <w:rPr>
          <w:rtl w:val="0"/>
        </w:rPr>
        <w:t xml:space="preserve">Description (mandatory): Metric description.</w:t>
      </w:r>
    </w:p>
    <w:p w:rsidR="00000000" w:rsidDel="00000000" w:rsidP="00000000" w:rsidRDefault="00000000" w:rsidRPr="00000000" w14:paraId="0000000C">
      <w:pPr>
        <w:numPr>
          <w:ilvl w:val="0"/>
          <w:numId w:val="1"/>
        </w:numPr>
        <w:ind w:left="720" w:hanging="360"/>
        <w:rPr>
          <w:color w:val="000000"/>
        </w:rPr>
      </w:pPr>
      <w:r w:rsidDel="00000000" w:rsidR="00000000" w:rsidRPr="00000000">
        <w:rPr>
          <w:rtl w:val="0"/>
        </w:rPr>
        <w:t xml:space="preserve">Source (mandatory): Tool and version used to calculate the metric.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Implementation details (optional, depending on metric): Standardised insights into the metric implementation, where possible.</w:t>
      </w:r>
    </w:p>
    <w:p w:rsidR="00000000" w:rsidDel="00000000" w:rsidP="00000000" w:rsidRDefault="00000000" w:rsidRPr="00000000" w14:paraId="0000000E">
      <w:pPr>
        <w:pStyle w:val="Heading5"/>
        <w:rPr/>
      </w:pPr>
      <w:bookmarkStart w:colFirst="0" w:colLast="0" w:name="_m3pbwyyb6pqt" w:id="4"/>
      <w:bookmarkEnd w:id="4"/>
      <w:r w:rsidDel="00000000" w:rsidR="00000000" w:rsidRPr="00000000">
        <w:rPr>
          <w:rtl w:val="0"/>
        </w:rPr>
        <w:t xml:space="preserve">Example metric: </w:t>
      </w:r>
      <w:r w:rsidDel="00000000" w:rsidR="00000000" w:rsidRPr="00000000">
        <w:rPr>
          <w:rtl w:val="0"/>
        </w:rPr>
        <w:t xml:space="preserve">Bases </w:t>
      </w:r>
      <w:r w:rsidDel="00000000" w:rsidR="00000000" w:rsidRPr="00000000">
        <w:rPr>
          <w:rFonts w:ascii="Arial Unicode MS" w:cs="Arial Unicode MS" w:eastAsia="Arial Unicode MS" w:hAnsi="Arial Unicode MS"/>
          <w:color w:val="595959"/>
          <w:rtl w:val="0"/>
        </w:rPr>
        <w:t xml:space="preserve">≥</w:t>
      </w:r>
      <w:r w:rsidDel="00000000" w:rsidR="00000000" w:rsidRPr="00000000">
        <w:rPr>
          <w:rtl w:val="0"/>
        </w:rPr>
        <w:t xml:space="preserve"> Q30</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Id: yield_bp_q30</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Description: The number of bases with BQ </w:t>
      </w:r>
      <w:r w:rsidDel="00000000" w:rsidR="00000000" w:rsidRPr="00000000">
        <w:rPr>
          <w:rFonts w:ascii="Arial Unicode MS" w:cs="Arial Unicode MS" w:eastAsia="Arial Unicode MS" w:hAnsi="Arial Unicode MS"/>
          <w:rtl w:val="0"/>
        </w:rPr>
        <w:t xml:space="preserve">≥ 30.</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Source: DRAGEN 3.7.6</w:t>
      </w: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Implementation details:</w:t>
      </w:r>
      <w:r w:rsidDel="00000000" w:rsidR="00000000" w:rsidRPr="00000000">
        <w:rPr>
          <w:rtl w:val="0"/>
        </w:rPr>
      </w:r>
    </w:p>
    <w:p w:rsidR="00000000" w:rsidDel="00000000" w:rsidP="00000000" w:rsidRDefault="00000000" w:rsidRPr="00000000" w14:paraId="00000013">
      <w:pPr>
        <w:spacing w:line="240" w:lineRule="auto"/>
        <w:rPr>
          <w:b w:val="1"/>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90"/>
        <w:gridCol w:w="1935"/>
        <w:gridCol w:w="1950"/>
        <w:tblGridChange w:id="0">
          <w:tblGrid>
            <w:gridCol w:w="1140"/>
            <w:gridCol w:w="3990"/>
            <w:gridCol w:w="193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Value in example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base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MIN_MQ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Minimum mapping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commentRangeStart w:id="2"/>
            <w:commentRangeStart w:id="3"/>
            <w:commentRangeStart w:id="4"/>
            <w:r w:rsidDel="00000000" w:rsidR="00000000" w:rsidRPr="00000000">
              <w:rPr>
                <w:rtl w:val="0"/>
              </w:rPr>
              <w:t xml:space="preserv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Are reads marked as duplicates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Start w:id="5"/>
            <w:commentRangeStart w:id="6"/>
            <w:commentRangeStart w:id="7"/>
            <w:r w:rsidDel="00000000" w:rsidR="00000000" w:rsidRPr="00000000">
              <w:rPr>
                <w:rtl w:val="0"/>
              </w:rPr>
              <w:t xml:space="preserve">Boolean</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Are clipped bases (hard and soft clipped)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OLP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Are overlapping bases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Are Unique Molecular Identifiers used to collapse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Are secondary alignments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pStyle w:val="Heading5"/>
        <w:rPr/>
      </w:pPr>
      <w:bookmarkStart w:colFirst="0" w:colLast="0" w:name="_72o2h42xnfwd" w:id="5"/>
      <w:bookmarkEnd w:id="5"/>
      <w:r w:rsidDel="00000000" w:rsidR="00000000" w:rsidRPr="00000000">
        <w:rPr>
          <w:rtl w:val="0"/>
        </w:rPr>
        <w:t xml:space="preserve">Example metric: Mean autosome coverage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Id: mean_autosome_coverage</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Description: The mean coverage in autosomes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Source: in-house tool based on mosdepth v0.3.2</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Implementation details:</w:t>
      </w:r>
    </w:p>
    <w:p w:rsidR="00000000" w:rsidDel="00000000" w:rsidP="00000000" w:rsidRDefault="00000000" w:rsidRPr="00000000" w14:paraId="00000045">
      <w:pPr>
        <w:spacing w:line="240" w:lineRule="auto"/>
        <w:rPr>
          <w:b w:val="1"/>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3990"/>
        <w:gridCol w:w="1935"/>
        <w:gridCol w:w="1950"/>
        <w:tblGridChange w:id="0">
          <w:tblGrid>
            <w:gridCol w:w="1140"/>
            <w:gridCol w:w="3990"/>
            <w:gridCol w:w="193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Value in example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Genomic reference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commentRangeStart w:id="8"/>
            <w:commentRangeStart w:id="9"/>
            <w:r w:rsidDel="00000000" w:rsidR="00000000" w:rsidRPr="00000000">
              <w:rPr>
                <w:rtl w:val="0"/>
              </w:rPr>
              <w:t xml:space="preserve">GRCh38</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Genomic filtering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commentRangeStart w:id="10"/>
            <w:r w:rsidDel="00000000" w:rsidR="00000000" w:rsidRPr="00000000">
              <w:rPr>
                <w:rtl w:val="0"/>
              </w:rPr>
              <w:t xml:space="preserve">Homo_sapiens_assembly38.autosomes.bed</w:t>
            </w:r>
            <w:commentRangeEnd w:id="10"/>
            <w:r w:rsidDel="00000000" w:rsidR="00000000" w:rsidRPr="00000000">
              <w:commentReference w:id="10"/>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MIN_BQ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Minimum base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MIN_MQ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Minimum mapping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Are duplicates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Are clipped bases (hard and soft clipped) </w:t>
            </w:r>
            <w:r w:rsidDel="00000000" w:rsidR="00000000" w:rsidRPr="00000000">
              <w:rPr>
                <w:rtl w:val="0"/>
              </w:rPr>
              <w:t xml:space="preserve">included</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Are overlapping bases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Are Unique Molecular Identifiers used to collapse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Are secondary alignments 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FALSE</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5"/>
        <w:rPr/>
      </w:pPr>
      <w:bookmarkStart w:colFirst="0" w:colLast="0" w:name="_lrowutkze6qv" w:id="6"/>
      <w:bookmarkEnd w:id="6"/>
      <w:r w:rsidDel="00000000" w:rsidR="00000000" w:rsidRPr="00000000">
        <w:rPr>
          <w:rtl w:val="0"/>
        </w:rPr>
        <w:t xml:space="preserve">Example metric:</w:t>
      </w:r>
      <w:r w:rsidDel="00000000" w:rsidR="00000000" w:rsidRPr="00000000">
        <w:rPr>
          <w:rtl w:val="0"/>
        </w:rPr>
        <w:t xml:space="preserve"> Percent autosomes covered </w:t>
      </w:r>
      <w:r w:rsidDel="00000000" w:rsidR="00000000" w:rsidRPr="00000000">
        <w:rPr>
          <w:rFonts w:ascii="Arial Unicode MS" w:cs="Arial Unicode MS" w:eastAsia="Arial Unicode MS" w:hAnsi="Arial Unicode MS"/>
          <w:color w:val="595959"/>
          <w:rtl w:val="0"/>
        </w:rPr>
        <w:t xml:space="preserve">≥</w:t>
      </w:r>
      <w:r w:rsidDel="00000000" w:rsidR="00000000" w:rsidRPr="00000000">
        <w:rPr>
          <w:rtl w:val="0"/>
        </w:rPr>
        <w:t xml:space="preserve"> </w:t>
      </w:r>
      <w:commentRangeStart w:id="11"/>
      <w:commentRangeStart w:id="12"/>
      <w:commentRangeStart w:id="13"/>
      <w:commentRangeStart w:id="14"/>
      <w:r w:rsidDel="00000000" w:rsidR="00000000" w:rsidRPr="00000000">
        <w:rPr>
          <w:rtl w:val="0"/>
        </w:rPr>
        <w:t xml:space="preserve">15 X</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Id: pct_autosomes_15x</w:t>
      </w:r>
    </w:p>
    <w:p w:rsidR="00000000" w:rsidDel="00000000" w:rsidP="00000000" w:rsidRDefault="00000000" w:rsidRPr="00000000" w14:paraId="00000071">
      <w:pPr>
        <w:numPr>
          <w:ilvl w:val="0"/>
          <w:numId w:val="1"/>
        </w:numPr>
        <w:ind w:left="720" w:hanging="360"/>
        <w:rPr/>
      </w:pPr>
      <w:r w:rsidDel="00000000" w:rsidR="00000000" w:rsidRPr="00000000">
        <w:rPr>
          <w:rtl w:val="0"/>
        </w:rPr>
        <w:t xml:space="preserve">Description: </w:t>
      </w:r>
      <w:r w:rsidDel="00000000" w:rsidR="00000000" w:rsidRPr="00000000">
        <w:rPr>
          <w:rtl w:val="0"/>
        </w:rPr>
        <w:t xml:space="preserve">The percentage of bases that attained at least 15X sequence coverage in autosomes.</w:t>
      </w:r>
      <w:r w:rsidDel="00000000" w:rsidR="00000000" w:rsidRPr="00000000">
        <w:rPr>
          <w:rtl w:val="0"/>
        </w:rPr>
      </w:r>
    </w:p>
    <w:p w:rsidR="00000000" w:rsidDel="00000000" w:rsidP="00000000" w:rsidRDefault="00000000" w:rsidRPr="00000000" w14:paraId="00000072">
      <w:pPr>
        <w:numPr>
          <w:ilvl w:val="0"/>
          <w:numId w:val="1"/>
        </w:numPr>
        <w:ind w:left="720" w:hanging="360"/>
        <w:rPr/>
      </w:pPr>
      <w:r w:rsidDel="00000000" w:rsidR="00000000" w:rsidRPr="00000000">
        <w:rPr>
          <w:rtl w:val="0"/>
        </w:rPr>
        <w:t xml:space="preserve">Source: in-house tool based on mosdepth v0.3.2 </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Implementation details: same as mean_autosome_coverage.</w:t>
      </w:r>
    </w:p>
    <w:p w:rsidR="00000000" w:rsidDel="00000000" w:rsidP="00000000" w:rsidRDefault="00000000" w:rsidRPr="00000000" w14:paraId="00000074">
      <w:pPr>
        <w:pStyle w:val="Heading5"/>
        <w:rPr/>
      </w:pPr>
      <w:bookmarkStart w:colFirst="0" w:colLast="0" w:name="_dfptx5j63fep" w:id="7"/>
      <w:bookmarkEnd w:id="7"/>
      <w:r w:rsidDel="00000000" w:rsidR="00000000" w:rsidRPr="00000000">
        <w:rPr>
          <w:rtl w:val="0"/>
        </w:rPr>
        <w:t xml:space="preserve">Example metric: Genome coverage uniformity</w:t>
      </w:r>
    </w:p>
    <w:p w:rsidR="00000000" w:rsidDel="00000000" w:rsidP="00000000" w:rsidRDefault="00000000" w:rsidRPr="00000000" w14:paraId="00000075">
      <w:pPr>
        <w:numPr>
          <w:ilvl w:val="0"/>
          <w:numId w:val="1"/>
        </w:numPr>
        <w:ind w:left="720" w:hanging="360"/>
      </w:pPr>
      <w:r w:rsidDel="00000000" w:rsidR="00000000" w:rsidRPr="00000000">
        <w:rPr>
          <w:rtl w:val="0"/>
        </w:rPr>
        <w:t xml:space="preserve">Id: autosome_coverage_uniformity</w:t>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Description: The percentage of bases with more </w:t>
      </w:r>
      <w:r w:rsidDel="00000000" w:rsidR="00000000" w:rsidRPr="00000000">
        <w:rPr>
          <w:i w:val="1"/>
          <w:u w:val="single"/>
          <w:rtl w:val="0"/>
        </w:rPr>
        <w:t xml:space="preserve">or less</w:t>
      </w:r>
      <w:r w:rsidDel="00000000" w:rsidR="00000000" w:rsidRPr="00000000">
        <w:rPr>
          <w:rtl w:val="0"/>
        </w:rPr>
        <w:t xml:space="preserve"> than 25% coverage difference from the </w:t>
      </w:r>
      <w:commentRangeStart w:id="15"/>
      <w:r w:rsidDel="00000000" w:rsidR="00000000" w:rsidRPr="00000000">
        <w:rPr>
          <w:rtl w:val="0"/>
        </w:rPr>
        <w:t xml:space="preserve">mean </w:t>
      </w:r>
      <w:commentRangeEnd w:id="15"/>
      <w:r w:rsidDel="00000000" w:rsidR="00000000" w:rsidRPr="00000000">
        <w:commentReference w:id="15"/>
      </w:r>
      <w:r w:rsidDel="00000000" w:rsidR="00000000" w:rsidRPr="00000000">
        <w:rPr>
          <w:rtl w:val="0"/>
        </w:rPr>
        <w:t xml:space="preserve">autosome coverage</w:t>
      </w:r>
    </w:p>
    <w:p w:rsidR="00000000" w:rsidDel="00000000" w:rsidP="00000000" w:rsidRDefault="00000000" w:rsidRPr="00000000" w14:paraId="00000077">
      <w:pPr>
        <w:numPr>
          <w:ilvl w:val="0"/>
          <w:numId w:val="1"/>
        </w:numPr>
        <w:ind w:left="720" w:hanging="360"/>
      </w:pPr>
      <w:r w:rsidDel="00000000" w:rsidR="00000000" w:rsidRPr="00000000">
        <w:rPr>
          <w:rtl w:val="0"/>
        </w:rPr>
        <w:t xml:space="preserve">Source: in-house tool based on mosdepth v0.3.2 calculating (PCT &lt; 0.75 * mean_autosome_coverage) + (PCT &gt; 1.25 * mean_autosome_coverage) </w:t>
      </w:r>
    </w:p>
    <w:p w:rsidR="00000000" w:rsidDel="00000000" w:rsidP="00000000" w:rsidRDefault="00000000" w:rsidRPr="00000000" w14:paraId="00000078">
      <w:pPr>
        <w:numPr>
          <w:ilvl w:val="0"/>
          <w:numId w:val="1"/>
        </w:numPr>
        <w:ind w:left="720" w:hanging="360"/>
      </w:pPr>
      <w:r w:rsidDel="00000000" w:rsidR="00000000" w:rsidRPr="00000000">
        <w:rPr>
          <w:rtl w:val="0"/>
        </w:rPr>
        <w:t xml:space="preserve">Implementation details: same as mean_autosome_coverage.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Example metric: Read mapping quality</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Id (mandatory): read_mapping_quality</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Description (mandatory): The percentage of reads mappable to the REF sequence with MAPQ&gt;0</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Source (mandatory): Via samtools (reads_mapped_percent)</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Implementation details: same as mean_autosome_coverage.</w:t>
      </w:r>
    </w:p>
    <w:p w:rsidR="00000000" w:rsidDel="00000000" w:rsidP="00000000" w:rsidRDefault="00000000" w:rsidRPr="00000000" w14:paraId="0000007F">
      <w:pPr>
        <w:rPr>
          <w:i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Example metric: Discordant read pairs</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Id (mandatory): discordant_read_pairs</w:t>
      </w:r>
    </w:p>
    <w:p w:rsidR="00000000" w:rsidDel="00000000" w:rsidP="00000000" w:rsidRDefault="00000000" w:rsidRPr="00000000" w14:paraId="00000082">
      <w:pPr>
        <w:numPr>
          <w:ilvl w:val="0"/>
          <w:numId w:val="1"/>
        </w:numPr>
        <w:ind w:left="720" w:hanging="360"/>
      </w:pPr>
      <w:r w:rsidDel="00000000" w:rsidR="00000000" w:rsidRPr="00000000">
        <w:rPr>
          <w:rtl w:val="0"/>
        </w:rPr>
        <w:t xml:space="preserve">Description (mandatory): The percentage of properly paired reads after alignment</w:t>
      </w:r>
    </w:p>
    <w:p w:rsidR="00000000" w:rsidDel="00000000" w:rsidP="00000000" w:rsidRDefault="00000000" w:rsidRPr="00000000" w14:paraId="00000083">
      <w:pPr>
        <w:numPr>
          <w:ilvl w:val="0"/>
          <w:numId w:val="1"/>
        </w:numPr>
        <w:ind w:left="720" w:hanging="360"/>
      </w:pPr>
      <w:r w:rsidDel="00000000" w:rsidR="00000000" w:rsidRPr="00000000">
        <w:rPr>
          <w:rtl w:val="0"/>
        </w:rPr>
        <w:t xml:space="preserve">Source (mandatory): Via samtools (reads_properly_paired_percent)</w:t>
      </w:r>
    </w:p>
    <w:p w:rsidR="00000000" w:rsidDel="00000000" w:rsidP="00000000" w:rsidRDefault="00000000" w:rsidRPr="00000000" w14:paraId="00000084">
      <w:pPr>
        <w:numPr>
          <w:ilvl w:val="0"/>
          <w:numId w:val="1"/>
        </w:numPr>
        <w:ind w:left="720" w:hanging="360"/>
      </w:pPr>
      <w:r w:rsidDel="00000000" w:rsidR="00000000" w:rsidRPr="00000000">
        <w:rPr>
          <w:rtl w:val="0"/>
        </w:rPr>
        <w:t xml:space="preserve">Implementation details: same as mean_autosome_coverage.</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Example metric: Mean insert size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Id (mandatory): mean_insert_size</w:t>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Description (mandatory): A tuple of mean insert size for paired and mapped reads followed by the insert size standard deviation for the average template length distribution</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Source (mandatory): Via samtools (Insert_size_average and insert_size_standard_deviation)</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Implementation details: same as mean_autosome_coverage.</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pStyle w:val="Heading4"/>
        <w:rPr/>
      </w:pPr>
      <w:bookmarkStart w:colFirst="0" w:colLast="0" w:name="_tu0qwn47ox4" w:id="8"/>
      <w:bookmarkEnd w:id="8"/>
      <w:r w:rsidDel="00000000" w:rsidR="00000000" w:rsidRPr="00000000">
        <w:rPr>
          <w:rtl w:val="0"/>
        </w:rPr>
        <w:t xml:space="preserve">Example implementations</w:t>
      </w:r>
    </w:p>
    <w:p w:rsidR="00000000" w:rsidDel="00000000" w:rsidP="00000000" w:rsidRDefault="00000000" w:rsidRPr="00000000" w14:paraId="0000008D">
      <w:pPr>
        <w:pStyle w:val="Heading5"/>
        <w:rPr/>
      </w:pPr>
      <w:bookmarkStart w:colFirst="0" w:colLast="0" w:name="_ukkdkrdns6y0" w:id="9"/>
      <w:bookmarkEnd w:id="9"/>
      <w:r w:rsidDel="00000000" w:rsidR="00000000" w:rsidRPr="00000000">
        <w:rPr>
          <w:rtl w:val="0"/>
        </w:rPr>
        <w:t xml:space="preserve">calculate_coverage.py</w:t>
      </w:r>
    </w:p>
    <w:p w:rsidR="00000000" w:rsidDel="00000000" w:rsidP="00000000" w:rsidRDefault="00000000" w:rsidRPr="00000000" w14:paraId="0000008E">
      <w:pPr>
        <w:rPr/>
      </w:pPr>
      <w:r w:rsidDel="00000000" w:rsidR="00000000" w:rsidRPr="00000000">
        <w:rPr>
          <w:rtl w:val="0"/>
        </w:rPr>
        <w:t xml:space="preserve">A mosdepth wrapper to calculate average coverage and genome completeness metrics.</w:t>
      </w:r>
    </w:p>
    <w:p w:rsidR="00000000" w:rsidDel="00000000" w:rsidP="00000000" w:rsidRDefault="00000000" w:rsidRPr="00000000" w14:paraId="0000008F">
      <w:pPr>
        <w:rPr/>
      </w:pPr>
      <w:r w:rsidDel="00000000" w:rsidR="00000000" w:rsidRPr="00000000">
        <w:rPr>
          <w:rtl w:val="0"/>
        </w:rPr>
        <w:t xml:space="preserve">Documentation: </w:t>
      </w:r>
      <w:hyperlink r:id="rId7">
        <w:r w:rsidDel="00000000" w:rsidR="00000000" w:rsidRPr="00000000">
          <w:rPr>
            <w:color w:val="1155cc"/>
            <w:u w:val="single"/>
            <w:rtl w:val="0"/>
          </w:rPr>
          <w:t xml:space="preserve">https://bit.ly/3EcgZXN</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 Gonzalez-Porta" w:id="8" w:date="2021-11-30T08:20:43Z">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refget checksum instead</w:t>
      </w:r>
    </w:p>
  </w:comment>
  <w:comment w:author="Oliver Hofmann" w:id="9" w:date="2022-01-18T12:04:44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Talked to Andy Yates; sequence collections are pretty much done but not official yet. Should be able to work with them.</w:t>
      </w:r>
    </w:p>
  </w:comment>
  <w:comment w:author="Christian Marshall" w:id="11" w:date="2021-09-06T18:42:14Z">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generally use 20X and also use minimum BQ 20.  I know we are not using variant calling in the metrics yet but we find that 20depth/20BQ/20MQ is a good proxy for 'callability' of the genome (the likelihood of calling an accurate genotype at a position).</w:t>
      </w:r>
    </w:p>
  </w:comment>
  <w:comment w:author="Oliver Hofmann" w:id="12" w:date="2021-09-09T06:42:45Z">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goes back to my question above. Do we want to be instrument independent? 20x can be decent for high-fidelity PacBio reads.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go all in and declare both instrument and application. A PopGen study looking at shallow seq for CNV calculation will be happy with 3x.</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compromise you likely want a range of coverage stats. This is easy to generate with the likes of mosdepth (% &gt; 1x / 5x / 15x / 30x / ...).</w:t>
      </w:r>
    </w:p>
  </w:comment>
  <w:comment w:author="Oliver Hofmann" w:id="13" w:date="2021-09-10T02:28:49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add a `callability` metric but essentially genome completeness at a specific coverage already covers this, at least for germline?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basically getting the 20Q20 score - % of the genome covered to at least 20X with Q20 bases with MAPQ &gt; 0 reads for free (https://www.biorxiv.org/content/10.1101/051490v1)</w:t>
      </w:r>
    </w:p>
  </w:comment>
  <w:comment w:author="Christian Marshall" w:id="14" w:date="2021-09-10T16:02:39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Oliver.  We should try and be agnostic. I like the idea of comprising and providing a range or examples.  I think the principle is what matters (ie ensure coverage for accurate detection of variation) but as you point out this will be dependent on the instrument/technology/method and the test purpose/definition.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agree that callability and completeness are related in this way.</w:t>
      </w:r>
    </w:p>
  </w:comment>
  <w:comment w:author="Oliver Hofmann" w:id="0" w:date="2021-09-09T06:35:22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@Mar_Gonzalez_Porta@gis.a-star.edu.sg I've been going over the scope in my mind and I am not sure what to define here. One for the upcoming chat, but I feel there are conflicting aims / design goals that I just can't get to agree.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be instrument agnostic we probably need additional metrics such as read length distribution, insert size (for paired end sequencing), etc.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_Can_ we be instrument/sequencing technology agnostic while limiting the scope to human WGS for germline variant calling?</w:t>
      </w:r>
    </w:p>
  </w:comment>
  <w:comment w:author="Mar Gonzalez-Porta" w:id="1" w:date="2021-09-13T08:46:29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 dataset featuring the AJ trio  across multiple platforms: https://www.nature.com/articles/s41587-021-01049-5 One to consider when illustrating generalisation of metrics.</w:t>
      </w:r>
    </w:p>
  </w:comment>
  <w:comment w:author="Oliver Hofmann" w:id="15" w:date="2021-09-10T01:01:1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also use median here. This is relatively generic, more specific metrics (sparseness, uneveness) for targeted sequencing have been proposed, e.g., https://www.nature.com/articles/s41598-017-01005-x</w:t>
      </w:r>
    </w:p>
  </w:comment>
  <w:comment w:author="Anonymous" w:id="2" w:date="2021-09-06T04:21:10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duplicates position based or UMI based?</w:t>
      </w:r>
    </w:p>
  </w:comment>
  <w:comment w:author="Oliver Hofmann" w:id="3" w:date="2021-09-09T06:38:05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recall correctly some aligners (DRAGEN) also the ability to soft-trim, i.e., these based will always show up as soft-clipped even if they align well (mostly for poly-Gs and Co). I suspect this can be covered by the `CLP` flag but would need a definition.</w:t>
      </w:r>
    </w:p>
  </w:comment>
  <w:comment w:author="Oliver Hofmann" w:id="4" w:date="2022-01-18T02:20:58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rephrase to 'are reads marked duplicate included'</w:t>
      </w:r>
    </w:p>
  </w:comment>
  <w:comment w:author="Oliver Hofmann" w:id="10" w:date="2022-01-18T12:05:56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_Not_ covered by RefGet or future extensions. Suggestion was to have a look at http://refgenie.databio.org (and chat with Nathan Sheffield).</w:t>
      </w:r>
    </w:p>
  </w:comment>
  <w:comment w:author="Oliver Hofmann" w:id="5" w:date="2021-11-30T12:14:44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Boolean? Duplicates included, marked / unmarked?</w:t>
      </w:r>
    </w:p>
  </w:comment>
  <w:comment w:author="Jukka Matilainen" w:id="6" w:date="2022-01-18T12:24:47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just stored the list of BAM/SAM filters applied (either by symbolic name or numeric value). This would also cover whether secondary aligments are included and other filtering by flags too.</w:t>
      </w:r>
    </w:p>
  </w:comment>
  <w:comment w:author="Oliver Hofmann" w:id="7" w:date="2022-01-18T12:32:28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sense to 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drawing>
        <wp:inline distB="114300" distT="114300" distL="114300" distR="114300">
          <wp:extent cx="2025525" cy="495299"/>
          <wp:effectExtent b="0" l="0" r="0" t="0"/>
          <wp:docPr descr="GA4GH-Logo-2.png" id="1" name="image1.png"/>
          <a:graphic>
            <a:graphicData uri="http://schemas.openxmlformats.org/drawingml/2006/picture">
              <pic:pic>
                <pic:nvPicPr>
                  <pic:cNvPr descr="GA4GH-Logo-2.png" id="0" name="image1.png"/>
                  <pic:cNvPicPr preferRelativeResize="0"/>
                </pic:nvPicPr>
                <pic:blipFill>
                  <a:blip r:embed="rId1"/>
                  <a:srcRect b="0" l="0" r="0" t="0"/>
                  <a:stretch>
                    <a:fillRect/>
                  </a:stretch>
                </pic:blipFill>
                <pic:spPr>
                  <a:xfrm>
                    <a:off x="0" y="0"/>
                    <a:ext cx="2025525" cy="49529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it.ly/3EcgZX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