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40"/>
          <w:szCs w:val="40"/>
        </w:rPr>
      </w:pPr>
      <w:bookmarkStart w:colFirst="0" w:colLast="0" w:name="_nmz0f51czxk7" w:id="0"/>
      <w:bookmarkEnd w:id="0"/>
      <w:r w:rsidDel="00000000" w:rsidR="00000000" w:rsidRPr="00000000">
        <w:rPr>
          <w:sz w:val="40"/>
          <w:szCs w:val="40"/>
          <w:rtl w:val="0"/>
        </w:rPr>
        <w:t xml:space="preserve">GHIF Practical guidelines for quality control of WGS results in population-scale initiatives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b w:val="1"/>
        </w:rPr>
      </w:pPr>
      <w:bookmarkStart w:colFirst="0" w:colLast="0" w:name="_1r3tvf9vai3w" w:id="1"/>
      <w:bookmarkEnd w:id="1"/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 that mention sample QC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Gargis, A. S.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 Assuring the quality of next-generation sequencing in clinical laboratory practice. </w:t>
      </w:r>
      <w:r w:rsidDel="00000000" w:rsidR="00000000" w:rsidRPr="00000000">
        <w:rPr>
          <w:i w:val="1"/>
          <w:rtl w:val="0"/>
        </w:rPr>
        <w:t xml:space="preserve">Nat Biotechnol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, 1033–1036 (2012).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Rehm, H. L.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 ACMG clinical laboratory standards for next-generation sequencing. </w:t>
      </w:r>
      <w:r w:rsidDel="00000000" w:rsidR="00000000" w:rsidRPr="00000000">
        <w:rPr>
          <w:i w:val="1"/>
          <w:rtl w:val="0"/>
        </w:rPr>
        <w:t xml:space="preserve">Genet Med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, 733–747 (2013).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Aziz, N.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 College of American Pathologists’ Laboratory Standards for Next-Generation Sequencing Clinical Tests. </w:t>
      </w:r>
      <w:r w:rsidDel="00000000" w:rsidR="00000000" w:rsidRPr="00000000">
        <w:rPr>
          <w:i w:val="1"/>
          <w:rtl w:val="0"/>
        </w:rPr>
        <w:t xml:space="preserve">Arch Pathol Lab Med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139</w:t>
      </w:r>
      <w:r w:rsidDel="00000000" w:rsidR="00000000" w:rsidRPr="00000000">
        <w:rPr>
          <w:rtl w:val="0"/>
        </w:rPr>
        <w:t xml:space="preserve">, 481–493 (2015).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Roy, S. et al. Standards and Guidelines for Validating Next-Generation Sequencing Bioinformatics Pipelines. J Mol Diagnostics 20, 4–27 (2018).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U.S. Food and Drug Administration (FDA). Considerations for Design, Development, and Analytical Validation of Next Generation Sequencing-Based In Vitro Diagnostics Intended to Aim in the Diagnosis of Suspected Germline Diseases. Updated 13 April 2018.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Medical Genome Initiative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 Best practices for the analytical validation of clinical whole-genome sequencing intended for the diagnosis of germline disease. </w:t>
      </w:r>
      <w:r w:rsidDel="00000000" w:rsidR="00000000" w:rsidRPr="00000000">
        <w:rPr>
          <w:i w:val="1"/>
          <w:rtl w:val="0"/>
        </w:rPr>
        <w:t xml:space="preserve">Npj Genom Medicine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 47 (2020).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TC215/SC1 - ISO standard on “Quality Control Metrics for DNA Sequencing”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QC frameworks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Whalley, J. P.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 Framework for quality assessment of whole genome cancer sequences. </w:t>
      </w:r>
      <w:r w:rsidDel="00000000" w:rsidR="00000000" w:rsidRPr="00000000">
        <w:rPr>
          <w:i w:val="1"/>
          <w:rtl w:val="0"/>
        </w:rPr>
        <w:t xml:space="preserve">Nat Commun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, 5040 (2020).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Karczewski, K. J. </w:t>
      </w:r>
      <w:r w:rsidDel="00000000" w:rsidR="00000000" w:rsidRPr="00000000">
        <w:rPr>
          <w:i w:val="1"/>
          <w:rtl w:val="0"/>
        </w:rPr>
        <w:t xml:space="preserve">et al.</w:t>
      </w:r>
      <w:r w:rsidDel="00000000" w:rsidR="00000000" w:rsidRPr="00000000">
        <w:rPr>
          <w:rtl w:val="0"/>
        </w:rPr>
        <w:t xml:space="preserve"> The mutational constraint spectrum quantified from variation in 141,456 humans. </w:t>
      </w:r>
      <w:r w:rsidDel="00000000" w:rsidR="00000000" w:rsidRPr="00000000">
        <w:rPr>
          <w:i w:val="1"/>
          <w:rtl w:val="0"/>
        </w:rPr>
        <w:t xml:space="preserve">Nature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581</w:t>
      </w:r>
      <w:r w:rsidDel="00000000" w:rsidR="00000000" w:rsidRPr="00000000">
        <w:rPr>
          <w:rtl w:val="0"/>
        </w:rPr>
        <w:t xml:space="preserve">, 434–443 (2020).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