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pPr>
      <w:r>
        <w:rPr>
          <w:rFonts w:ascii="Calibri" w:cs="Calibri" w:eastAsia="Calibri" w:hAnsi="Calibri"/>
          <w:b/>
          <w:bCs/>
          <w:color w:val="C8962C"/>
          <w:spacing w:val="40"/>
          <w:sz w:val="22"/>
          <w:szCs w:val="22"/>
        </w:rPr>
        <w:t xml:space="preserve">DESIGN BRIEF</w:t>
      </w:r>
    </w:p>
    <w:p>
      <w:pPr>
        <w:spacing w:after="80"/>
      </w:pPr>
      <w:r>
        <w:rPr>
          <w:rFonts w:ascii="Georgia" w:cs="Georgia" w:eastAsia="Georgia" w:hAnsi="Georgia"/>
          <w:b/>
          <w:bCs/>
          <w:color w:val="0B1B33"/>
          <w:sz w:val="64"/>
          <w:szCs w:val="64"/>
        </w:rPr>
        <w:t xml:space="preserve">MBA Partner — Courses Page Redesign</w:t>
      </w:r>
    </w:p>
    <w:p>
      <w:pPr>
        <w:spacing w:after="360"/>
      </w:pPr>
      <w:r>
        <w:rPr>
          <w:rFonts w:ascii="Georgia" w:cs="Georgia" w:eastAsia="Georgia" w:hAnsi="Georgia"/>
          <w:i/>
          <w:iCs/>
          <w:color w:val="5B6B7F"/>
          <w:sz w:val="26"/>
          <w:szCs w:val="26"/>
        </w:rPr>
        <w:t xml:space="preserve">A Strategic &amp; Visual Redesign for a Premium MBA Placement-Acceleration Platform</w:t>
      </w:r>
    </w:p>
    <w:p>
      <w:pPr>
        <w:pBdr>
          <w:top w:val="single" w:color="C8962C" w:sz="6" w:space="8"/>
        </w:pBdr>
        <w:spacing w:after="200" w:before="200"/>
      </w:pPr>
    </w:p>
    <w:p>
      <w:pPr>
        <w:spacing w:after="60"/>
      </w:pPr>
      <w:r>
        <w:rPr>
          <w:rFonts w:ascii="Calibri" w:cs="Calibri" w:eastAsia="Calibri" w:hAnsi="Calibri"/>
          <w:b/>
          <w:bCs/>
          <w:color w:val="0B1B33"/>
          <w:sz w:val="22"/>
          <w:szCs w:val="22"/>
        </w:rPr>
        <w:t xml:space="preserve">Prepared for:  </w:t>
      </w:r>
      <w:r>
        <w:rPr>
          <w:rFonts w:ascii="Calibri" w:cs="Calibri" w:eastAsia="Calibri" w:hAnsi="Calibri"/>
          <w:color w:val="0B1B33"/>
          <w:sz w:val="22"/>
          <w:szCs w:val="22"/>
        </w:rPr>
        <w:t xml:space="preserve">MBA Partner (mbapartner.in)</w:t>
      </w:r>
    </w:p>
    <w:p>
      <w:pPr>
        <w:spacing w:after="60"/>
      </w:pPr>
      <w:r>
        <w:rPr>
          <w:rFonts w:ascii="Calibri" w:cs="Calibri" w:eastAsia="Calibri" w:hAnsi="Calibri"/>
          <w:b/>
          <w:bCs/>
          <w:color w:val="0B1B33"/>
          <w:sz w:val="22"/>
          <w:szCs w:val="22"/>
        </w:rPr>
        <w:t xml:space="preserve">Scope:  </w:t>
      </w:r>
      <w:r>
        <w:rPr>
          <w:rFonts w:ascii="Calibri" w:cs="Calibri" w:eastAsia="Calibri" w:hAnsi="Calibri"/>
          <w:color w:val="0B1B33"/>
          <w:sz w:val="22"/>
          <w:szCs w:val="22"/>
        </w:rPr>
        <w:t xml:space="preserve">/courses page — full strategic, structural, and visual redesign</w:t>
      </w:r>
    </w:p>
    <w:p>
      <w:pPr>
        <w:spacing w:after="60"/>
      </w:pPr>
      <w:r>
        <w:rPr>
          <w:rFonts w:ascii="Calibri" w:cs="Calibri" w:eastAsia="Calibri" w:hAnsi="Calibri"/>
          <w:b/>
          <w:bCs/>
          <w:color w:val="0B1B33"/>
          <w:sz w:val="22"/>
          <w:szCs w:val="22"/>
        </w:rPr>
        <w:t xml:space="preserve">Prepared by:  </w:t>
      </w:r>
      <w:r>
        <w:rPr>
          <w:rFonts w:ascii="Calibri" w:cs="Calibri" w:eastAsia="Calibri" w:hAnsi="Calibri"/>
          <w:color w:val="0B1B33"/>
          <w:sz w:val="22"/>
          <w:szCs w:val="22"/>
        </w:rPr>
        <w:t xml:space="preserve">Claude, Senior Product Designer / CRO / Creative Director (acting)</w:t>
      </w:r>
    </w:p>
    <w:p>
      <w:pPr>
        <w:spacing w:after="400"/>
      </w:pPr>
      <w:r>
        <w:rPr>
          <w:rFonts w:ascii="Calibri" w:cs="Calibri" w:eastAsia="Calibri" w:hAnsi="Calibri"/>
          <w:b/>
          <w:bCs/>
          <w:color w:val="0B1B33"/>
          <w:sz w:val="22"/>
          <w:szCs w:val="22"/>
        </w:rPr>
        <w:t xml:space="preserve">Date:  </w:t>
      </w:r>
      <w:r>
        <w:rPr>
          <w:rFonts w:ascii="Calibri" w:cs="Calibri" w:eastAsia="Calibri" w:hAnsi="Calibri"/>
          <w:color w:val="0B1B33"/>
          <w:sz w:val="22"/>
          <w:szCs w:val="22"/>
        </w:rPr>
        <w:t xml:space="preserve">20 June 2026</w:t>
      </w:r>
    </w:p>
    <w:p>
      <w:pPr>
        <w:pBdr>
          <w:left w:val="single" w:color="C8962C" w:sz="18" w:space="8"/>
        </w:pBdr>
        <w:shd w:fill="F4E9D8" w:val="clear"/>
        <w:spacing w:after="200" w:before="200"/>
        <w:ind w:left="200"/>
      </w:pPr>
      <w:r>
        <w:rPr>
          <w:b/>
          <w:bCs/>
          <w:color w:val="0B1B33"/>
          <w:sz w:val="21"/>
          <w:szCs w:val="21"/>
        </w:rPr>
        <w:t xml:space="preserve">Note on scope: </w:t>
      </w:r>
      <w:r>
        <w:rPr>
          <w:color w:val="0B1B33"/>
          <w:sz w:val="21"/>
          <w:szCs w:val="21"/>
        </w:rPr>
        <w:t xml:space="preserve">Phase 1 includes a material correction to the brief's framing of the business — please read it first. It changes several downstream recommendations and is flagged explicitly rather than silently designed around.</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t xml:space="preserve">Phase 1 — Deep Analysis</w:t>
      </w:r>
    </w:p>
    <w:p>
      <w:pPr>
        <w:spacing w:after="60" w:before="200"/>
      </w:pPr>
      <w:r>
        <w:rPr>
          <w:rFonts w:ascii="Calibri" w:cs="Calibri" w:eastAsia="Calibri" w:hAnsi="Calibri"/>
          <w:b/>
          <w:bCs/>
          <w:color w:val="C8962C"/>
          <w:spacing w:val="20"/>
          <w:sz w:val="18"/>
          <w:szCs w:val="18"/>
        </w:rPr>
        <w:t xml:space="preserve">A CORRECTION BEFORE WE BEGIN</w:t>
      </w:r>
    </w:p>
    <w:p>
      <w:pPr>
        <w:spacing w:after="160" w:line="288"/>
      </w:pPr>
      <w:r>
        <w:t xml:space="preserve">I pulled the live mbapartner.in/courses page and the homepage directly before doing anything else, and it changed my read of the business in an important way — important enough that I want to flag it before any design thinking, rather than quietly designing around it.</w:t>
      </w:r>
    </w:p>
    <w:p>
      <w:pPr>
        <w:spacing w:after="160" w:line="288"/>
      </w:pPr>
      <w:r>
        <w:t xml:space="preserve">MBA Partner is not an MBA admissions consulting company in the sense of helping someone get INTO an MBA program (CAT/GMAT prep, essays, interviews). Based on the live site, it is a post-admission, pre-placement career-acceleration community for students already enrolled in an MBA program. The homepage states plainly that committee positions and graduation internships are no longer enough to get a CV shortlisted, and the entire product line — Live Projects, Case Competitions, a Placements Bootcamp, and certification add-ons — exists to build a CV strong enough to land a Summer Internship Placement (SIP) and, eventually, a Final Placement at a top recruiter.</w:t>
      </w:r>
    </w:p>
    <w:p>
      <w:pPr>
        <w:spacing w:after="160" w:line="288"/>
      </w:pPr>
      <w:r>
        <w:t xml:space="preserve">This matters enormously for the redesign. "Harvard Business School meets McKinsey" is still the right aesthetic register — premium, credible, understated — but the page architecture, CTAs, and trust signals need to sell career outcomes (placements, recruiter logos, CTC ranges, CV transformation) rather than admission outcomes (acceptance rates, b-school rankings, essay help). I've built the entire brief around the real business. If MBA Partner is in fact pivoting into admissions consulting as a new line, the design system in Phases 4–6 still applies untouched; only some Phase 3 section copy would need to shift from "placement outcomes" to "admit outcomes." I'll note those swap points as we go.</w:t>
      </w:r>
    </w:p>
    <w:p>
      <w:pPr>
        <w:pBdr>
          <w:bottom w:val="single" w:color="D8DEE6" w:sz="4" w:space="1"/>
        </w:pBdr>
        <w:spacing w:after="120" w:before="120"/>
      </w:pPr>
    </w:p>
    <w:p>
      <w:pPr>
        <w:pStyle w:val="Heading2"/>
      </w:pPr>
      <w:r>
        <w:t xml:space="preserve">A. Business Analysis</w:t>
      </w:r>
    </w:p>
    <w:p>
      <w:pPr>
        <w:pStyle w:val="Heading3"/>
      </w:pPr>
      <w:r>
        <w:t xml:space="preserve">What does the company do?</w:t>
      </w:r>
    </w:p>
    <w:p>
      <w:pPr>
        <w:spacing w:after="160" w:line="288"/>
      </w:pPr>
      <w:r>
        <w:t xml:space="preserve">MBA Partner runs a membership-style community, founded by alumni of "Old IIM" institutions, that sells practical, CV-building experiences to current MBA students:</w:t>
      </w:r>
    </w:p>
    <w:p>
      <w:pPr>
        <w:pStyle w:val="ListParagraph"/>
        <w:numPr>
          <w:ilvl w:val="0"/>
          <w:numId w:val="2"/>
        </w:numPr>
        <w:spacing w:after="100" w:line="276"/>
      </w:pPr>
      <w:r>
        <w:t xml:space="preserve">Live Projects (delivered via Prodmark Consultants Pvt. Ltd.) — real client work across functional domains, sold by domain count and duration.</w:t>
      </w:r>
    </w:p>
    <w:p>
      <w:pPr>
        <w:pStyle w:val="ListParagraph"/>
        <w:numPr>
          <w:ilvl w:val="0"/>
          <w:numId w:val="2"/>
        </w:numPr>
        <w:spacing w:after="100" w:line="276"/>
      </w:pPr>
      <w:r>
        <w:t xml:space="preserve">Case Competitions — structured competitive case-solving, sold standalone or bundled.</w:t>
      </w:r>
    </w:p>
    <w:p>
      <w:pPr>
        <w:pStyle w:val="ListParagraph"/>
        <w:numPr>
          <w:ilvl w:val="0"/>
          <w:numId w:val="2"/>
        </w:numPr>
        <w:spacing w:after="100" w:line="276"/>
      </w:pPr>
      <w:r>
        <w:t xml:space="preserve">Placements Bootcamp — structured SIP/Final Placement interview preparation across functional tracks (Finance, Marketing, Consulting, Product, etc.).</w:t>
      </w:r>
    </w:p>
    <w:p>
      <w:pPr>
        <w:pStyle w:val="ListParagraph"/>
        <w:numPr>
          <w:ilvl w:val="0"/>
          <w:numId w:val="2"/>
        </w:numPr>
        <w:spacing w:after="100" w:line="276"/>
      </w:pPr>
      <w:r>
        <w:t xml:space="preserve">Bundled combos — Bootcamp + Case Comp + Live Project, sold as a discounted package (the page's top product).</w:t>
      </w:r>
    </w:p>
    <w:p>
      <w:pPr>
        <w:pStyle w:val="ListParagraph"/>
        <w:numPr>
          <w:ilvl w:val="0"/>
          <w:numId w:val="2"/>
        </w:numPr>
        <w:spacing w:after="100" w:line="276"/>
      </w:pPr>
      <w:r>
        <w:t xml:space="preserve">Certification add-ons — Advanced Excel, Power BI — low-ticket, high-margin skill credentials.</w:t>
      </w:r>
    </w:p>
    <w:p>
      <w:pPr>
        <w:spacing w:after="160" w:line="288"/>
      </w:pPr>
      <w:r>
        <w:t xml:space="preserve">Commercially this is a cohort-based, e-commerce-style storefront (currently built on Wix, with literal "Add to Cart" buttons) rather than a lead-gen consultancy site. That's a meaningful UX difference from a typical admissions consulting funnel, and the redesign needs to decide deliberately whether to keep transactional self-checkout or convert to a consult-then-enroll funnel (I recommend a hybrid — see Phase 5).</w:t>
      </w:r>
    </w:p>
    <w:p>
      <w:pPr>
        <w:pStyle w:val="Heading3"/>
      </w:pPr>
      <w:r>
        <w:t xml:space="preserve">Who is the target audience?</w:t>
      </w:r>
    </w:p>
    <w:p>
      <w:pPr>
        <w:pStyle w:val="ListParagraph"/>
        <w:numPr>
          <w:ilvl w:val="0"/>
          <w:numId w:val="2"/>
        </w:numPr>
        <w:spacing w:after="100" w:line="276"/>
      </w:pPr>
      <w:r>
        <w:t xml:space="preserve">Primary: First-year MBA students (India, Tier-1/2 B-schools — IIMs, FMS, XLRI, SPJIMR, MDI, NMIMS, and equivalents) approaching their Summer Internship Placement (SIP) season, roughly 4–8 months into their program.</w:t>
      </w:r>
    </w:p>
    <w:p>
      <w:pPr>
        <w:pStyle w:val="ListParagraph"/>
        <w:numPr>
          <w:ilvl w:val="0"/>
          <w:numId w:val="2"/>
        </w:numPr>
        <w:spacing w:after="100" w:line="276"/>
      </w:pPr>
      <w:r>
        <w:t xml:space="preserve">Secondary: Second-year students preparing for Final Placements who still have CV or domain gaps from SIP season.</w:t>
      </w:r>
    </w:p>
    <w:p>
      <w:pPr>
        <w:pStyle w:val="ListParagraph"/>
        <w:numPr>
          <w:ilvl w:val="0"/>
          <w:numId w:val="2"/>
        </w:numPr>
        <w:spacing w:after="100" w:line="276"/>
      </w:pPr>
      <w:r>
        <w:t xml:space="preserve">Tertiary: Engineering or non-business-background freshers inside MBA programs who feel disadvantaged against students with prior work experience or finance/consulting pedigree (this anxiety shows up repeatedly in the testimonials).</w:t>
      </w:r>
    </w:p>
    <w:p>
      <w:pPr>
        <w:spacing w:after="160" w:line="288"/>
      </w:pPr>
      <w:r>
        <w:t xml:space="preserve">These are intelligent, time-poor, anxious, peer-benchmarking buyers. They are not naive consumers — they will scrutinize claims, compare against alternatives (seniors' advice, self-study, competing prep communities), and look for proof before they pay.</w:t>
      </w:r>
    </w:p>
    <w:p>
      <w:pPr>
        <w:pStyle w:val="Heading3"/>
      </w:pPr>
      <w:r>
        <w:t xml:space="preserve">What are users trying to achieve?</w:t>
      </w:r>
    </w:p>
    <w:p>
      <w:pPr>
        <w:pStyle w:val="ListParagraph"/>
        <w:numPr>
          <w:ilvl w:val="0"/>
          <w:numId w:val="3"/>
        </w:numPr>
        <w:spacing w:after="100" w:line="276"/>
      </w:pPr>
      <w:r>
        <w:t xml:space="preserve">Close a perceived CV gap before recruiters arrive on campus — most urgently, real project/work experience.</w:t>
      </w:r>
    </w:p>
    <w:p>
      <w:pPr>
        <w:pStyle w:val="ListParagraph"/>
        <w:numPr>
          <w:ilvl w:val="0"/>
          <w:numId w:val="3"/>
        </w:numPr>
        <w:spacing w:after="100" w:line="276"/>
      </w:pPr>
      <w:r>
        <w:t xml:space="preserve">Reduce interview anxiety for SIP/Final Placement by rehearsing domain-specific questions with people who've been through it.</w:t>
      </w:r>
    </w:p>
    <w:p>
      <w:pPr>
        <w:pStyle w:val="ListParagraph"/>
        <w:numPr>
          <w:ilvl w:val="0"/>
          <w:numId w:val="3"/>
        </w:numPr>
        <w:spacing w:after="100" w:line="276"/>
      </w:pPr>
      <w:r>
        <w:t xml:space="preserve">Get into a specific, named domain (Finance, Consulting, Product, Marketing, Strategy) — not a vague "better CV," but a credible bridge into one functional track.</w:t>
      </w:r>
    </w:p>
    <w:p>
      <w:pPr>
        <w:pStyle w:val="ListParagraph"/>
        <w:numPr>
          <w:ilvl w:val="0"/>
          <w:numId w:val="3"/>
        </w:numPr>
        <w:spacing w:after="100" w:line="276"/>
      </w:pPr>
      <w:r>
        <w:t xml:space="preserve">Borrow legitimacy from mentors who already have the seat they want (an IIM-B / XLRI / FMS senior who placed well functions as social proof and as a literal information source).</w:t>
      </w:r>
    </w:p>
    <w:p>
      <w:pPr>
        <w:pStyle w:val="ListParagraph"/>
        <w:numPr>
          <w:ilvl w:val="0"/>
          <w:numId w:val="3"/>
        </w:numPr>
        <w:spacing w:after="100" w:line="276"/>
      </w:pPr>
      <w:r>
        <w:t xml:space="preserve">Move fast — SIP season is a hard deadline; this is an urgent, time-boxed purchase, not a leisurely browse.</w:t>
      </w:r>
    </w:p>
    <w:p>
      <w:pPr>
        <w:pStyle w:val="Heading3"/>
      </w:pPr>
      <w:r>
        <w:t xml:space="preserve">What trust signals are important?</w:t>
      </w:r>
    </w:p>
    <w:p>
      <w:pPr>
        <w:pStyle w:val="ListParagraph"/>
        <w:numPr>
          <w:ilvl w:val="0"/>
          <w:numId w:val="2"/>
        </w:numPr>
        <w:spacing w:after="100" w:line="276"/>
      </w:pPr>
      <w:r>
        <w:t xml:space="preserve">Mentor pedigree, named and specific (IIM Ahmedabad / Bangalore / Calcutta, XLRI, FMS) — credentials are the core currency here, more than testimonial volume.</w:t>
      </w:r>
    </w:p>
    <w:p>
      <w:pPr>
        <w:pStyle w:val="ListParagraph"/>
        <w:numPr>
          <w:ilvl w:val="0"/>
          <w:numId w:val="2"/>
        </w:numPr>
        <w:spacing w:after="100" w:line="276"/>
      </w:pPr>
      <w:r>
        <w:t xml:space="preserve">Recruiter/company logos the cohort actually landed at (Accenture Strategy, Media.net, Kearney, Reliance, JM Financial, Pine Labs, Times of India, KPMG/Big 4) — this is the single strongest piece of evidence on the current site and is presently buried in unstructured testimonial text.</w:t>
      </w:r>
    </w:p>
    <w:p>
      <w:pPr>
        <w:pStyle w:val="ListParagraph"/>
        <w:numPr>
          <w:ilvl w:val="0"/>
          <w:numId w:val="2"/>
        </w:numPr>
        <w:spacing w:after="100" w:line="276"/>
      </w:pPr>
      <w:r>
        <w:t xml:space="preserve">Verifiable, named, LinkedIn-linked alumni stories rather than anonymous quotes — the current site does this well but visually underuses it.</w:t>
      </w:r>
    </w:p>
    <w:p>
      <w:pPr>
        <w:pStyle w:val="ListParagraph"/>
        <w:numPr>
          <w:ilvl w:val="0"/>
          <w:numId w:val="2"/>
        </w:numPr>
        <w:spacing w:after="100" w:line="276"/>
      </w:pPr>
      <w:r>
        <w:t xml:space="preserve">Hard numbers: average rating (9.6/10), network size (5,000+), placement rate (98.7%) — currently shown but with zero visual hierarchy, sitting as plain headline text with no card treatment, iconography, or context.</w:t>
      </w:r>
    </w:p>
    <w:p>
      <w:pPr>
        <w:pStyle w:val="ListParagraph"/>
        <w:numPr>
          <w:ilvl w:val="0"/>
          <w:numId w:val="2"/>
        </w:numPr>
        <w:spacing w:after="100" w:line="276"/>
      </w:pPr>
      <w:r>
        <w:t xml:space="preserve">Specificity of outcome — "landed Product Management role at Media.net," "Strategy role at Accenture for SIP" — concrete role + concrete company is more persuasive to this audience than generic happy-customer language.</w:t>
      </w:r>
    </w:p>
    <w:p>
      <w:pPr>
        <w:pStyle w:val="ListParagraph"/>
        <w:numPr>
          <w:ilvl w:val="0"/>
          <w:numId w:val="2"/>
        </w:numPr>
        <w:spacing w:after="100" w:line="276"/>
      </w:pPr>
      <w:r>
        <w:t xml:space="preserve">Institutional framing ("Initiative by Alumni of Old IIM") — currently a one-line tagline in the header; it's a credibility asset that deserves more prominence, similar to how a consulting firm leads with its founders' pedigree.</w:t>
      </w:r>
    </w:p>
    <w:p>
      <w:pPr>
        <w:pStyle w:val="Heading3"/>
      </w:pPr>
      <w:r>
        <w:t xml:space="preserve">What objections do users have before purchasing?</w:t>
      </w:r>
    </w:p>
    <w:p>
      <w:pPr>
        <w:pStyle w:val="ListParagraph"/>
        <w:numPr>
          <w:ilvl w:val="0"/>
          <w:numId w:val="2"/>
        </w:numPr>
        <w:spacing w:after="100" w:line="276"/>
      </w:pPr>
      <w:r>
        <w:t xml:space="preserve">"Is this just another low-effort online course, or do I get real, gradeable work product for my CV?" — the live-project / case-comp distinction needs to be unmistakably clear.</w:t>
      </w:r>
    </w:p>
    <w:p>
      <w:pPr>
        <w:pStyle w:val="ListParagraph"/>
        <w:numPr>
          <w:ilvl w:val="0"/>
          <w:numId w:val="2"/>
        </w:numPr>
        <w:spacing w:after="100" w:line="276"/>
      </w:pPr>
      <w:r>
        <w:t xml:space="preserve">"Will this actually help in MY domain (Finance/Consulting/Product), or is it generic?" — domain specificity must be selectable, not buried in fine print.</w:t>
      </w:r>
    </w:p>
    <w:p>
      <w:pPr>
        <w:pStyle w:val="ListParagraph"/>
        <w:numPr>
          <w:ilvl w:val="0"/>
          <w:numId w:val="2"/>
        </w:numPr>
        <w:spacing w:after="100" w:line="276"/>
      </w:pPr>
      <w:r>
        <w:t xml:space="preserve">"Is the mentor pool actually from top schools, or is that marketing language?" — needs named mentors with credentials, not an abstract claim.</w:t>
      </w:r>
    </w:p>
    <w:p>
      <w:pPr>
        <w:pStyle w:val="ListParagraph"/>
        <w:numPr>
          <w:ilvl w:val="0"/>
          <w:numId w:val="2"/>
        </w:numPr>
        <w:spacing w:after="100" w:line="276"/>
      </w:pPr>
      <w:r>
        <w:t xml:space="preserve">"Do I have time for this on top of coursework?" — duration, hours/week, and format (live vs. self-paced) need to be upfront, not discovered after checkout.</w:t>
      </w:r>
    </w:p>
    <w:p>
      <w:pPr>
        <w:pStyle w:val="ListParagraph"/>
        <w:numPr>
          <w:ilvl w:val="0"/>
          <w:numId w:val="2"/>
        </w:numPr>
        <w:spacing w:after="100" w:line="276"/>
      </w:pPr>
      <w:r>
        <w:t xml:space="preserve">"Which combo is right for me?" — five near-identical SKUs (Bootcamp / Bootcamp+CaseComp / Bootcamp+CaseComp+LiveProject / CaseComp+LiveProject / CaseComp alone) currently require the buyer to do their own comparison shopping with no guidance.</w:t>
      </w:r>
    </w:p>
    <w:p>
      <w:pPr>
        <w:pStyle w:val="ListParagraph"/>
        <w:numPr>
          <w:ilvl w:val="0"/>
          <w:numId w:val="2"/>
        </w:numPr>
        <w:spacing w:after="100" w:line="276"/>
      </w:pPr>
      <w:r>
        <w:t xml:space="preserve">"Is the ₹13,999 price justified relative to outcome?" — needs an implicit ROI frame (cost of the program vs. CTC uplift / cost of a missed placement cycle).</w:t>
      </w:r>
    </w:p>
    <w:p>
      <w:pPr>
        <w:pStyle w:val="Heading3"/>
      </w:pPr>
      <w:r>
        <w:t xml:space="preserve">What information hierarchy should exist?</w:t>
      </w:r>
    </w:p>
    <w:p>
      <w:pPr>
        <w:pStyle w:val="ListParagraph"/>
        <w:numPr>
          <w:ilvl w:val="0"/>
          <w:numId w:val="3"/>
        </w:numPr>
        <w:spacing w:after="100" w:line="276"/>
      </w:pPr>
      <w:r>
        <w:t xml:space="preserve">Outcome promise (what you become: placement-ready, in your domain, fast) before product mechanics.</w:t>
      </w:r>
    </w:p>
    <w:p>
      <w:pPr>
        <w:pStyle w:val="ListParagraph"/>
        <w:numPr>
          <w:ilvl w:val="0"/>
          <w:numId w:val="3"/>
        </w:numPr>
        <w:spacing w:after="100" w:line="276"/>
      </w:pPr>
      <w:r>
        <w:t xml:space="preserve">Proof of outcome (named alumni + named recruiters + numbers) high on the page, not buried in a separate Testimonials page.</w:t>
      </w:r>
    </w:p>
    <w:p>
      <w:pPr>
        <w:pStyle w:val="ListParagraph"/>
        <w:numPr>
          <w:ilvl w:val="0"/>
          <w:numId w:val="3"/>
        </w:numPr>
        <w:spacing w:after="100" w:line="276"/>
      </w:pPr>
      <w:r>
        <w:t xml:space="preserve">Program/path selection — guided by domain or by current gap ("I have no live project experience" / "I need interview reps" / "I want a full package") rather than a flat SKU list.</w:t>
      </w:r>
    </w:p>
    <w:p>
      <w:pPr>
        <w:pStyle w:val="ListParagraph"/>
        <w:numPr>
          <w:ilvl w:val="0"/>
          <w:numId w:val="3"/>
        </w:numPr>
        <w:spacing w:after="100" w:line="276"/>
      </w:pPr>
      <w:r>
        <w:t xml:space="preserve">Product depth (what's actually included, hours, format, mentor names) once intent is established.</w:t>
      </w:r>
    </w:p>
    <w:p>
      <w:pPr>
        <w:pStyle w:val="ListParagraph"/>
        <w:numPr>
          <w:ilvl w:val="0"/>
          <w:numId w:val="3"/>
        </w:numPr>
        <w:spacing w:after="100" w:line="276"/>
      </w:pPr>
      <w:r>
        <w:t xml:space="preserve">Direct comparison of combos, so the buyer can self-select with confidence instead of guessing.</w:t>
      </w:r>
    </w:p>
    <w:p>
      <w:pPr>
        <w:pStyle w:val="ListParagraph"/>
        <w:numPr>
          <w:ilvl w:val="0"/>
          <w:numId w:val="3"/>
        </w:numPr>
        <w:spacing w:after="100" w:line="276"/>
      </w:pPr>
      <w:r>
        <w:t xml:space="preserve">Low-friction conversion — enroll, WhatsApp community, or a quick advisory call for the undecided.</w:t>
      </w:r>
    </w:p>
    <w:p>
      <w:pPr>
        <w:pStyle w:val="ListParagraph"/>
        <w:numPr>
          <w:ilvl w:val="0"/>
          <w:numId w:val="3"/>
        </w:numPr>
        <w:spacing w:after="100" w:line="276"/>
      </w:pPr>
      <w:r>
        <w:t xml:space="preserve">Reinforcing trust (FAQ, mentor bios, community proof) for the buyer who needs one more nudge before paying.</w:t>
      </w:r>
    </w:p>
    <w:p>
      <w:pPr>
        <w:pBdr>
          <w:bottom w:val="single" w:color="D8DEE6" w:sz="4" w:space="1"/>
        </w:pBdr>
        <w:spacing w:after="120" w:before="120"/>
      </w:pPr>
    </w:p>
    <w:p>
      <w:pPr>
        <w:pStyle w:val="Heading2"/>
      </w:pPr>
      <w:r>
        <w:t xml:space="preserve">B. Competitor / Current-Page Analysis</w:t>
      </w:r>
    </w:p>
    <w:p>
      <w:pPr>
        <w:spacing w:after="160" w:line="288"/>
      </w:pPr>
      <w:r>
        <w:t xml:space="preserve">The current /courses page is functionally a Wix product catalog: six unstyled category blocks ("All-In-One Combos," "Placements Bootcamp &amp; Combos," "Live Projects," "Case Competition &amp; Combos," "Certification Courses") each listing raw products with strike-through pricing and an Add to Cart button. There is no hero, no narrative, no proof, no comparison aid, and no path-finding for an undecided buyer.</w:t>
      </w:r>
    </w:p>
    <w:p>
      <w:pPr>
        <w:pStyle w:val="Heading3"/>
      </w:pPr>
      <w:r>
        <w:t xml:space="preserve">Visual Weaknesses</w:t>
      </w:r>
    </w:p>
    <w:p>
      <w:pPr>
        <w:pStyle w:val="ListParagraph"/>
        <w:numPr>
          <w:ilvl w:val="0"/>
          <w:numId w:val="2"/>
        </w:numPr>
        <w:spacing w:after="100" w:line="276"/>
      </w:pPr>
      <w:r>
        <w:t xml:space="preserve">Zero brand system on this page — looks like an unstyled Wix store template, completely disconnected from any "premium consulting" positioning.</w:t>
      </w:r>
    </w:p>
    <w:p>
      <w:pPr>
        <w:pStyle w:val="ListParagraph"/>
        <w:numPr>
          <w:ilvl w:val="0"/>
          <w:numId w:val="2"/>
        </w:numPr>
        <w:spacing w:after="100" w:line="276"/>
      </w:pPr>
      <w:r>
        <w:t xml:space="preserve">No imagery, no iconography, no color hierarchy — every product block looks identical, so nothing signals "this is the flagship offer" versus "this is an add-on."</w:t>
      </w:r>
    </w:p>
    <w:p>
      <w:pPr>
        <w:pStyle w:val="ListParagraph"/>
        <w:numPr>
          <w:ilvl w:val="0"/>
          <w:numId w:val="2"/>
        </w:numPr>
        <w:spacing w:after="100" w:line="276"/>
      </w:pPr>
      <w:r>
        <w:t xml:space="preserve">Pricing presented as raw strike-through numbers with no framing (no "per program," no value anchor, no payment-plan or urgency context).</w:t>
      </w:r>
    </w:p>
    <w:p>
      <w:pPr>
        <w:pStyle w:val="ListParagraph"/>
        <w:numPr>
          <w:ilvl w:val="0"/>
          <w:numId w:val="2"/>
        </w:numPr>
        <w:spacing w:after="100" w:line="276"/>
      </w:pPr>
      <w:r>
        <w:t xml:space="preserve">Typography is default Wix body text throughout — no heading scale, no premium serif/display pairing befitting an executive audience.</w:t>
      </w:r>
    </w:p>
    <w:p>
      <w:pPr>
        <w:pStyle w:val="Heading3"/>
      </w:pPr>
      <w:r>
        <w:t xml:space="preserve">UX Weaknesses</w:t>
      </w:r>
    </w:p>
    <w:p>
      <w:pPr>
        <w:pStyle w:val="ListParagraph"/>
        <w:numPr>
          <w:ilvl w:val="0"/>
          <w:numId w:val="2"/>
        </w:numPr>
        <w:spacing w:after="100" w:line="276"/>
      </w:pPr>
      <w:r>
        <w:t xml:space="preserve">No guided path. A first-time visitor with a real, specific anxiety ("I have no live project on my CV") is handed a flat list of six raw SKUs and a generic "Type / Domain / Duration" dropdown with no explanation of what differs between them.</w:t>
      </w:r>
    </w:p>
    <w:p>
      <w:pPr>
        <w:pStyle w:val="ListParagraph"/>
        <w:numPr>
          <w:ilvl w:val="0"/>
          <w:numId w:val="2"/>
        </w:numPr>
        <w:spacing w:after="100" w:line="276"/>
      </w:pPr>
      <w:r>
        <w:t xml:space="preserve">Combos are not visually differentiated from standalone products, so the best-value, highest-intent bundle (the ₹13,999 "all-in-one") gets the same visual weight as a ₹1,499 Excel certificate.</w:t>
      </w:r>
    </w:p>
    <w:p>
      <w:pPr>
        <w:pStyle w:val="ListParagraph"/>
        <w:numPr>
          <w:ilvl w:val="0"/>
          <w:numId w:val="2"/>
        </w:numPr>
        <w:spacing w:after="100" w:line="276"/>
      </w:pPr>
      <w:r>
        <w:t xml:space="preserve">No comparison table — a buyer must mentally diff five similarly-named combo SKUs unaided.</w:t>
      </w:r>
    </w:p>
    <w:p>
      <w:pPr>
        <w:pStyle w:val="ListParagraph"/>
        <w:numPr>
          <w:ilvl w:val="0"/>
          <w:numId w:val="2"/>
        </w:numPr>
        <w:spacing w:after="100" w:line="276"/>
      </w:pPr>
      <w:r>
        <w:t xml:space="preserve">No FAQ on the page itself to resolve objections at the point of decision (FAQ-type content, if it exists, lives elsewhere).</w:t>
      </w:r>
    </w:p>
    <w:p>
      <w:pPr>
        <w:pStyle w:val="ListParagraph"/>
        <w:numPr>
          <w:ilvl w:val="0"/>
          <w:numId w:val="2"/>
        </w:numPr>
        <w:spacing w:after="100" w:line="276"/>
      </w:pPr>
      <w:r>
        <w:t xml:space="preserve">CTA language is purely transactional ("Add to Cart") with no softer, lower-commitment option for someone who isn't ready to pay (no "talk to a mentor," no "see a sample live project").</w:t>
      </w:r>
    </w:p>
    <w:p>
      <w:pPr>
        <w:pStyle w:val="Heading3"/>
      </w:pPr>
      <w:r>
        <w:t xml:space="preserve">Conversion Bottlenecks</w:t>
      </w:r>
    </w:p>
    <w:p>
      <w:pPr>
        <w:pStyle w:val="ListParagraph"/>
        <w:numPr>
          <w:ilvl w:val="0"/>
          <w:numId w:val="2"/>
        </w:numPr>
        <w:spacing w:after="100" w:line="276"/>
      </w:pPr>
      <w:r>
        <w:t xml:space="preserve">The page asks for a purchase decision before it has made the case — no proof, no outcome story, no mentor credibility appears anywhere on the page itself.</w:t>
      </w:r>
    </w:p>
    <w:p>
      <w:pPr>
        <w:pStyle w:val="ListParagraph"/>
        <w:numPr>
          <w:ilvl w:val="0"/>
          <w:numId w:val="2"/>
        </w:numPr>
        <w:spacing w:after="100" w:line="276"/>
      </w:pPr>
      <w:r>
        <w:t xml:space="preserve">Decision paralysis from undifferentiated SKUs likely causes drop-off exactly at the moment of highest intent.</w:t>
      </w:r>
    </w:p>
    <w:p>
      <w:pPr>
        <w:pStyle w:val="ListParagraph"/>
        <w:numPr>
          <w:ilvl w:val="0"/>
          <w:numId w:val="2"/>
        </w:numPr>
        <w:spacing w:after="100" w:line="276"/>
      </w:pPr>
      <w:r>
        <w:t xml:space="preserve">No urgency or cohort-based framing (start dates, seats, SIP season countdown) despite this being a genuinely time-boxed purchase.</w:t>
      </w:r>
    </w:p>
    <w:p>
      <w:pPr>
        <w:pStyle w:val="ListParagraph"/>
        <w:numPr>
          <w:ilvl w:val="0"/>
          <w:numId w:val="2"/>
        </w:numPr>
        <w:spacing w:after="100" w:line="276"/>
      </w:pPr>
      <w:r>
        <w:t xml:space="preserve">No secondary, low-commitment conversion path (e.g., WhatsApp community join, free sample compendium download) is foregrounded on this page, even though those assets exist elsewhere on the site and are strong trust-builders.</w:t>
      </w:r>
    </w:p>
    <w:p>
      <w:pPr>
        <w:pStyle w:val="Heading3"/>
      </w:pPr>
      <w:r>
        <w:t xml:space="preserve">Information Architecture Issues</w:t>
      </w:r>
    </w:p>
    <w:p>
      <w:pPr>
        <w:pStyle w:val="ListParagraph"/>
        <w:numPr>
          <w:ilvl w:val="0"/>
          <w:numId w:val="2"/>
        </w:numPr>
        <w:spacing w:after="100" w:line="276"/>
      </w:pPr>
      <w:r>
        <w:t xml:space="preserve">Category groupings are organized by SKU type (Combos / Bootcamp / Live Projects / Case Comp / Certifications) rather than by buyer intent (by domain, by career stage, by budget) — useful for the seller's catalog logic, not for the buyer's decision logic.</w:t>
      </w:r>
    </w:p>
    <w:p>
      <w:pPr>
        <w:pStyle w:val="ListParagraph"/>
        <w:numPr>
          <w:ilvl w:val="0"/>
          <w:numId w:val="2"/>
        </w:numPr>
        <w:spacing w:after="100" w:line="276"/>
      </w:pPr>
      <w:r>
        <w:t xml:space="preserve">Page lacks any "how it works" or journey explanation — a first-time visitor doesn't know if this is self-paced content, live cohort sessions, 1:1 mentorship, or some mix.</w:t>
      </w:r>
    </w:p>
    <w:p>
      <w:pPr>
        <w:pStyle w:val="ListParagraph"/>
        <w:numPr>
          <w:ilvl w:val="0"/>
          <w:numId w:val="2"/>
        </w:numPr>
        <w:spacing w:after="100" w:line="276"/>
      </w:pPr>
      <w:r>
        <w:t xml:space="preserve">Proof (testimonials, stats, mentor pedigree) lives entirely on the homepage and a separate Testimonials page, never reinforced on the page where the purchase decision is actually made.</w:t>
      </w:r>
    </w:p>
    <w:p>
      <w:pPr>
        <w:pStyle w:val="Heading3"/>
      </w:pPr>
      <w:r>
        <w:t xml:space="preserve">Mobile Responsiveness Concerns</w:t>
      </w:r>
    </w:p>
    <w:p>
      <w:pPr>
        <w:pStyle w:val="ListParagraph"/>
        <w:numPr>
          <w:ilvl w:val="0"/>
          <w:numId w:val="2"/>
        </w:numPr>
        <w:spacing w:after="100" w:line="276"/>
      </w:pPr>
      <w:r>
        <w:t xml:space="preserve">Wix's default product-list components typically degrade to single-column stacks with the same lack of hierarchy — on mobile this becomes a very long scroll of look-alike cards with no anchor navigation or filtering.</w:t>
      </w:r>
    </w:p>
    <w:p>
      <w:pPr>
        <w:pStyle w:val="ListParagraph"/>
        <w:numPr>
          <w:ilvl w:val="0"/>
          <w:numId w:val="2"/>
        </w:numPr>
        <w:spacing w:after="100" w:line="276"/>
      </w:pPr>
      <w:r>
        <w:t xml:space="preserve">No sticky/persistent CTA for mobile, where the dominant traffic for this audience (WhatsApp/Telegram-driven, India, mobile-first) will land.</w:t>
      </w:r>
    </w:p>
    <w:p>
      <w:pPr>
        <w:pStyle w:val="ListParagraph"/>
        <w:numPr>
          <w:ilvl w:val="0"/>
          <w:numId w:val="2"/>
        </w:numPr>
        <w:spacing w:after="100" w:line="276"/>
      </w:pPr>
      <w:r>
        <w:t xml:space="preserve">Dense raw pricing tables (as seen in the catalog data) tend to overflow or wrap awkwardly on narrow viewports without a redesigned, mobile-first card layout.</w:t>
      </w:r>
    </w:p>
    <w:p>
      <w:pPr>
        <w:pStyle w:val="Heading3"/>
      </w:pPr>
      <w:r>
        <w:t xml:space="preserve">Trust and Credibility Gaps</w:t>
      </w:r>
    </w:p>
    <w:p>
      <w:pPr>
        <w:pStyle w:val="ListParagraph"/>
        <w:numPr>
          <w:ilvl w:val="0"/>
          <w:numId w:val="2"/>
        </w:numPr>
        <w:spacing w:after="100" w:line="276"/>
      </w:pPr>
      <w:r>
        <w:t xml:space="preserve">Recruiter logos (Accenture, KPMG, Kearney, Reliance, Pine Labs, JM Financial, Times of India) are mentioned only inside long-form testimonial paragraphs on the homepage — never extracted into a scannable logo wall, the single highest-leverage trust asset this business has.</w:t>
      </w:r>
    </w:p>
    <w:p>
      <w:pPr>
        <w:pStyle w:val="ListParagraph"/>
        <w:numPr>
          <w:ilvl w:val="0"/>
          <w:numId w:val="2"/>
        </w:numPr>
        <w:spacing w:after="100" w:line="276"/>
      </w:pPr>
      <w:r>
        <w:t xml:space="preserve">Mentor credentials (IIM/XLRI/FMS) are referenced abstractly ("Mentors from Top B-Schools") without named mentor profiles, photos, or bios anywhere visible on the courses page.</w:t>
      </w:r>
    </w:p>
    <w:p>
      <w:pPr>
        <w:pStyle w:val="ListParagraph"/>
        <w:numPr>
          <w:ilvl w:val="0"/>
          <w:numId w:val="2"/>
        </w:numPr>
        <w:spacing w:after="100" w:line="276"/>
      </w:pPr>
      <w:r>
        <w:t xml:space="preserve">"Initiative by Alumni of Old IIM" — a strong founder-credibility line — is a barely-visible header subtitle instead of an anchored trust statement.</w:t>
      </w:r>
    </w:p>
    <w:p>
      <w:pPr>
        <w:pStyle w:val="ListParagraph"/>
        <w:numPr>
          <w:ilvl w:val="0"/>
          <w:numId w:val="2"/>
        </w:numPr>
        <w:spacing w:after="100" w:line="276"/>
      </w:pPr>
      <w:r>
        <w:t xml:space="preserve">No certifications, accreditation marks, secure-payment badges, or refund/guarantee language visible, which matters for a buyer paying ₹4,000–₹14,000 upfront to an organization they're encountering for the first time.</w:t>
      </w:r>
    </w:p>
    <w:p>
      <w:pPr>
        <w:pStyle w:val="Heading2"/>
      </w:pPr>
      <w:r>
        <w:t xml:space="preserve">C. Inspiration Analysis</w:t>
      </w:r>
    </w:p>
    <w:p>
      <w:pPr>
        <w:spacing w:after="160" w:line="288"/>
      </w:pPr>
      <w:r>
        <w:t xml:space="preserve">Five references were provided. None of them is built for this audience — all five are consumer-facing K-12/general edtech or course-marketplace patterns, cheerful and youth-leaning, which is precisely the opposite register from "Harvard Business School meets McKinsey." That doesn't make them useless: each contributes one or two structural or component ideas worth extracting, stripped of their playful skin. Scored 1–10 on the brief's stated criteria.</w:t>
      </w:r>
    </w:p>
    <w:p>
      <w:pPr>
        <w:pStyle w:val="Heading3"/>
      </w:pPr>
      <w:r>
        <w:t xml:space="preserve">1. "Eduvance" — mobile course-marketplace screens</w:t>
      </w:r>
    </w:p>
    <w:p>
      <w:pPr>
        <w:pStyle w:val="ListParagraph"/>
        <w:numPr>
          <w:ilvl w:val="0"/>
          <w:numId w:val="2"/>
        </w:numPr>
        <w:spacing w:after="100" w:line="276"/>
      </w:pPr>
      <w:r>
        <w:t xml:space="preserve">Visual quality: 6/10 — clean mobile UI kit, but generic purple/yellow SaaS-template styling.</w:t>
      </w:r>
    </w:p>
    <w:p>
      <w:pPr>
        <w:pStyle w:val="ListParagraph"/>
        <w:numPr>
          <w:ilvl w:val="0"/>
          <w:numId w:val="2"/>
        </w:numPr>
        <w:spacing w:after="100" w:line="276"/>
      </w:pPr>
      <w:r>
        <w:t xml:space="preserve">Professionalism: 4/10 — bright yellow CTAs and a stock "thumbs up" hero photo read as consumer/youth, not executive.</w:t>
      </w:r>
    </w:p>
    <w:p>
      <w:pPr>
        <w:pStyle w:val="ListParagraph"/>
        <w:numPr>
          <w:ilvl w:val="0"/>
          <w:numId w:val="2"/>
        </w:numPr>
        <w:spacing w:after="100" w:line="276"/>
      </w:pPr>
      <w:r>
        <w:t xml:space="preserve">MBA audience fit: 3/10 — closer to a B2C skills app (Udemy-adjacent) than a premium consulting brand.</w:t>
      </w:r>
    </w:p>
    <w:p>
      <w:pPr>
        <w:pStyle w:val="ListParagraph"/>
        <w:numPr>
          <w:ilvl w:val="0"/>
          <w:numId w:val="2"/>
        </w:numPr>
        <w:spacing w:after="100" w:line="276"/>
      </w:pPr>
      <w:r>
        <w:t xml:space="preserve">Conversion potential: 6/10 — the rating badge, course-card stats (lessons/hours/students), and star rating are genuinely effective conversion patterns.</w:t>
      </w:r>
    </w:p>
    <w:p>
      <w:pPr>
        <w:pStyle w:val="ListParagraph"/>
        <w:numPr>
          <w:ilvl w:val="0"/>
          <w:numId w:val="2"/>
        </w:numPr>
        <w:spacing w:after="100" w:line="276"/>
      </w:pPr>
      <w:r>
        <w:t xml:space="preserve">Premium feel: 3/10 — flat colors, rounded mass-market iconography, no premium materiality.</w:t>
      </w:r>
    </w:p>
    <w:p>
      <w:pPr>
        <w:pStyle w:val="ListParagraph"/>
        <w:numPr>
          <w:ilvl w:val="0"/>
          <w:numId w:val="2"/>
        </w:numPr>
        <w:spacing w:after="100" w:line="276"/>
      </w:pPr>
      <w:r>
        <w:t xml:space="preserve">Verdict: borrow the course-card anatomy (stat row + rating + single clear CTA) and the layered stat presentation (number + context label). Discard the color palette, the playful blob shapes, and the stock-photo styling entirely.</w:t>
      </w:r>
    </w:p>
    <w:p>
      <w:pPr>
        <w:pStyle w:val="Heading3"/>
      </w:pPr>
      <w:r>
        <w:t xml:space="preserve">2. "Omekaa" — purple SaaS edtech landing page</w:t>
      </w:r>
    </w:p>
    <w:p>
      <w:pPr>
        <w:pStyle w:val="ListParagraph"/>
        <w:numPr>
          <w:ilvl w:val="0"/>
          <w:numId w:val="2"/>
        </w:numPr>
        <w:spacing w:after="100" w:line="276"/>
      </w:pPr>
      <w:r>
        <w:t xml:space="preserve">Visual quality: 7/10 — the strongest of the five technically; good use of whitespace, soft shadows, and a coherent grid.</w:t>
      </w:r>
    </w:p>
    <w:p>
      <w:pPr>
        <w:pStyle w:val="ListParagraph"/>
        <w:numPr>
          <w:ilvl w:val="0"/>
          <w:numId w:val="2"/>
        </w:numPr>
        <w:spacing w:after="100" w:line="276"/>
      </w:pPr>
      <w:r>
        <w:t xml:space="preserve">Professionalism: 5/10 — closer to a modern SaaS product than a consulting brand, but more composed than the others.</w:t>
      </w:r>
    </w:p>
    <w:p>
      <w:pPr>
        <w:pStyle w:val="ListParagraph"/>
        <w:numPr>
          <w:ilvl w:val="0"/>
          <w:numId w:val="2"/>
        </w:numPr>
        <w:spacing w:after="100" w:line="276"/>
      </w:pPr>
      <w:r>
        <w:t xml:space="preserve">MBA audience fit: 5/10 — the "Designed by Experts, Trusted by Learners" course-grid section and the milestone/stat band ("$20 Million," "650,000+") are structurally the closest thing here to what an outcomes-driven page needs.</w:t>
      </w:r>
    </w:p>
    <w:p>
      <w:pPr>
        <w:pStyle w:val="ListParagraph"/>
        <w:numPr>
          <w:ilvl w:val="0"/>
          <w:numId w:val="2"/>
        </w:numPr>
        <w:spacing w:after="100" w:line="276"/>
      </w:pPr>
      <w:r>
        <w:t xml:space="preserve">Conversion potential: 7/10 — best information architecture of the set: hero → trust logos → stat band → course grid → feature proof → milestones → testimonials → final CTA is essentially the right skeleton.</w:t>
      </w:r>
    </w:p>
    <w:p>
      <w:pPr>
        <w:pStyle w:val="ListParagraph"/>
        <w:numPr>
          <w:ilvl w:val="0"/>
          <w:numId w:val="2"/>
        </w:numPr>
        <w:spacing w:after="100" w:line="276"/>
      </w:pPr>
      <w:r>
        <w:t xml:space="preserve">Premium feel: 5/10 — undermined by the saturated purple gradient hero and generic stock photography, but the layout bones underneath are sound.</w:t>
      </w:r>
    </w:p>
    <w:p>
      <w:pPr>
        <w:pStyle w:val="ListParagraph"/>
        <w:numPr>
          <w:ilvl w:val="0"/>
          <w:numId w:val="2"/>
        </w:numPr>
        <w:spacing w:after="100" w:line="276"/>
      </w:pPr>
      <w:r>
        <w:t xml:space="preserve">Verdict: this is the structural backbone to build from. Borrow the section sequence, the milestone band, and the logo-wall placement directly under the hero. Discard the purple gradient, the cutesy floating icon badges on the hero photo, and the rounded-everything SaaS aesthetic.</w:t>
      </w:r>
    </w:p>
    <w:p>
      <w:pPr>
        <w:pStyle w:val="Heading3"/>
      </w:pPr>
      <w:r>
        <w:t xml:space="preserve">3 &amp; 4. "EduLearn" — K-12 substitute-teacher platform (desktop + mobile)</w:t>
      </w:r>
    </w:p>
    <w:p>
      <w:pPr>
        <w:pStyle w:val="ListParagraph"/>
        <w:numPr>
          <w:ilvl w:val="0"/>
          <w:numId w:val="2"/>
        </w:numPr>
        <w:spacing w:after="100" w:line="276"/>
      </w:pPr>
      <w:r>
        <w:t xml:space="preserve">Visual quality: 6/10 — confident teal/cream palette and decent type contrast, let down by hand-drawn doodle accents (squiggles, scribbled icons).</w:t>
      </w:r>
    </w:p>
    <w:p>
      <w:pPr>
        <w:pStyle w:val="ListParagraph"/>
        <w:numPr>
          <w:ilvl w:val="0"/>
          <w:numId w:val="2"/>
        </w:numPr>
        <w:spacing w:after="100" w:line="276"/>
      </w:pPr>
      <w:r>
        <w:t xml:space="preserve">Professionalism: 3/10 — doodle illustrations and a children's-book illustration style are disqualifying for an MBA/exec audience.</w:t>
      </w:r>
    </w:p>
    <w:p>
      <w:pPr>
        <w:pStyle w:val="ListParagraph"/>
        <w:numPr>
          <w:ilvl w:val="0"/>
          <w:numId w:val="2"/>
        </w:numPr>
        <w:spacing w:after="100" w:line="276"/>
      </w:pPr>
      <w:r>
        <w:t xml:space="preserve">MBA audience fit: 2/10 — this is literally a K-12 schools product; tonally about as far from "McKinsey" as the set gets.</w:t>
      </w:r>
    </w:p>
    <w:p>
      <w:pPr>
        <w:pStyle w:val="ListParagraph"/>
        <w:numPr>
          <w:ilvl w:val="0"/>
          <w:numId w:val="2"/>
        </w:numPr>
        <w:spacing w:after="100" w:line="276"/>
      </w:pPr>
      <w:r>
        <w:t xml:space="preserve">Conversion potential: 5/10 — the asymmetric stat-card grid (3k / 300+ / 48+ over a portrait photo) is a strong reusable pattern, and the single bold CTA band before the footer works.</w:t>
      </w:r>
    </w:p>
    <w:p>
      <w:pPr>
        <w:pStyle w:val="ListParagraph"/>
        <w:numPr>
          <w:ilvl w:val="0"/>
          <w:numId w:val="2"/>
        </w:numPr>
        <w:spacing w:after="100" w:line="276"/>
      </w:pPr>
      <w:r>
        <w:t xml:space="preserve">Premium feel: 2/10 — playful orange accents and child-subject photography are the opposite of premium-consulting.</w:t>
      </w:r>
    </w:p>
    <w:p>
      <w:pPr>
        <w:pStyle w:val="ListParagraph"/>
        <w:numPr>
          <w:ilvl w:val="0"/>
          <w:numId w:val="2"/>
        </w:numPr>
        <w:spacing w:after="100" w:line="276"/>
      </w:pPr>
      <w:r>
        <w:t xml:space="preserve">Verdict: borrow the asymmetric number-tile grid layered over/beside a photo block, and the bold closing CTA band with a contrast color field. Discard the doodles, the orange/teal palette, and all child-oriented photography.</w:t>
      </w:r>
    </w:p>
    <w:p>
      <w:pPr>
        <w:pStyle w:val="Heading3"/>
      </w:pPr>
      <w:r>
        <w:t xml:space="preserve">5. "Stwedy" — playful hero with floating badge cards</w:t>
      </w:r>
    </w:p>
    <w:p>
      <w:pPr>
        <w:pStyle w:val="ListParagraph"/>
        <w:numPr>
          <w:ilvl w:val="0"/>
          <w:numId w:val="2"/>
        </w:numPr>
        <w:spacing w:after="100" w:line="276"/>
      </w:pPr>
      <w:r>
        <w:t xml:space="preserve">Visual quality: 6/10 — well-executed for what it is; clean type, good use of a single accent color pair (yellow + green).</w:t>
      </w:r>
    </w:p>
    <w:p>
      <w:pPr>
        <w:pStyle w:val="ListParagraph"/>
        <w:numPr>
          <w:ilvl w:val="0"/>
          <w:numId w:val="2"/>
        </w:numPr>
        <w:spacing w:after="100" w:line="276"/>
      </w:pPr>
      <w:r>
        <w:t xml:space="preserve">Professionalism: 3/10 — floating organic blob shapes behind the hero photo and a green "Login" pill are distinctly consumer-app, not enterprise.</w:t>
      </w:r>
    </w:p>
    <w:p>
      <w:pPr>
        <w:pStyle w:val="ListParagraph"/>
        <w:numPr>
          <w:ilvl w:val="0"/>
          <w:numId w:val="2"/>
        </w:numPr>
        <w:spacing w:after="100" w:line="276"/>
      </w:pPr>
      <w:r>
        <w:t xml:space="preserve">MBA audience fit: 2/10 — "99+ online courses," a smiling-with-phone hero photo, and pill-shaped category chips (Graphic Design, UI/UX, Animation) target a hobbyist-creative learner, not an MBA student under placement pressure.</w:t>
      </w:r>
    </w:p>
    <w:p>
      <w:pPr>
        <w:pStyle w:val="ListParagraph"/>
        <w:numPr>
          <w:ilvl w:val="0"/>
          <w:numId w:val="2"/>
        </w:numPr>
        <w:spacing w:after="100" w:line="276"/>
      </w:pPr>
      <w:r>
        <w:t xml:space="preserve">Conversion potential: 4/10 — the floating "Interactive Engagement" info card next to the hero photo is a nice device for surfacing a single proof point inline, but the rest underdelivers on guiding a purchase decision.</w:t>
      </w:r>
    </w:p>
    <w:p>
      <w:pPr>
        <w:pStyle w:val="ListParagraph"/>
        <w:numPr>
          <w:ilvl w:val="0"/>
          <w:numId w:val="2"/>
        </w:numPr>
        <w:spacing w:after="100" w:line="276"/>
      </w:pPr>
      <w:r>
        <w:t xml:space="preserve">Premium feel: 2/10 — the weakest of the five on this axis; reads as a hobby-course marketplace.</w:t>
      </w:r>
    </w:p>
    <w:p>
      <w:pPr>
        <w:pStyle w:val="ListParagraph"/>
        <w:numPr>
          <w:ilvl w:val="0"/>
          <w:numId w:val="2"/>
        </w:numPr>
        <w:spacing w:after="100" w:line="276"/>
      </w:pPr>
      <w:r>
        <w:t xml:space="preserve">Verdict: borrow only the floating annotation-card device (a small white card pinned to the hero image calling out one credibility stat). Discard everything else — palette, blob shapes, chip styling, tone.</w:t>
      </w:r>
    </w:p>
    <w:p>
      <w:pPr>
        <w:pStyle w:val="Heading3"/>
      </w:pPr>
      <w:r>
        <w:t xml:space="preserve">Ranking (premium-fit weighted)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100"/>
        <w:gridCol w:w="1600"/>
        <w:gridCol w:w="1300"/>
        <w:gridCol w:w="1400"/>
        <w:gridCol w:w="1660"/>
      </w:tblGrid>
      <w:tr>
        <w:trPr>
          <w:tblHeader/>
        </w:trPr>
        <w:tc>
          <w:tcPr>
            <w:tcW w:type="dxa" w:w="9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Rank</w:t>
            </w:r>
          </w:p>
        </w:tc>
        <w:tc>
          <w:tcPr>
            <w:tcW w:type="dxa" w:w="24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Inspiration</w:t>
            </w:r>
          </w:p>
        </w:tc>
        <w:tc>
          <w:tcPr>
            <w:tcW w:type="dxa" w:w="11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Visual</w:t>
            </w:r>
          </w:p>
        </w:tc>
        <w:tc>
          <w:tcPr>
            <w:tcW w:type="dxa" w:w="16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Professional</w:t>
            </w:r>
          </w:p>
        </w:tc>
        <w:tc>
          <w:tcPr>
            <w:tcW w:type="dxa" w:w="13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MBA Fit</w:t>
            </w:r>
          </w:p>
        </w:tc>
        <w:tc>
          <w:tcPr>
            <w:tcW w:type="dxa" w:w="14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Conversion</w:t>
            </w:r>
          </w:p>
        </w:tc>
        <w:tc>
          <w:tcPr>
            <w:tcW w:type="dxa" w:w="166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Premium</w:t>
            </w:r>
          </w:p>
        </w:tc>
      </w:tr>
      <w:tr>
        <w:trPr>
          <w:cantSplit/>
        </w:trPr>
        <w:tc>
          <w:tcPr>
            <w:tcW w:type="dxa" w:w="900"/>
            <w:shd w:fill="FFFFFF" w:val="clear"/>
            <w:tcMar>
              <w:top w:type="dxa" w:w="90"/>
              <w:left w:type="dxa" w:w="120"/>
              <w:bottom w:type="dxa" w:w="90"/>
              <w:right w:type="dxa" w:w="120"/>
            </w:tcMar>
          </w:tcPr>
          <w:p>
            <w:pPr>
              <w:spacing w:after="40"/>
            </w:pPr>
            <w:r>
              <w:rPr>
                <w:sz w:val="20"/>
                <w:szCs w:val="20"/>
              </w:rPr>
              <w:t xml:space="preserve">1</w:t>
            </w:r>
          </w:p>
        </w:tc>
        <w:tc>
          <w:tcPr>
            <w:tcW w:type="dxa" w:w="2400"/>
            <w:shd w:fill="FFFFFF" w:val="clear"/>
            <w:tcMar>
              <w:top w:type="dxa" w:w="90"/>
              <w:left w:type="dxa" w:w="120"/>
              <w:bottom w:type="dxa" w:w="90"/>
              <w:right w:type="dxa" w:w="120"/>
            </w:tcMar>
          </w:tcPr>
          <w:p>
            <w:pPr>
              <w:spacing w:after="40"/>
            </w:pPr>
            <w:r>
              <w:rPr>
                <w:sz w:val="20"/>
                <w:szCs w:val="20"/>
              </w:rPr>
              <w:t xml:space="preserve">Omekaa</w:t>
            </w:r>
          </w:p>
        </w:tc>
        <w:tc>
          <w:tcPr>
            <w:tcW w:type="dxa" w:w="1100"/>
            <w:shd w:fill="FFFFFF" w:val="clear"/>
            <w:tcMar>
              <w:top w:type="dxa" w:w="90"/>
              <w:left w:type="dxa" w:w="120"/>
              <w:bottom w:type="dxa" w:w="90"/>
              <w:right w:type="dxa" w:w="120"/>
            </w:tcMar>
          </w:tcPr>
          <w:p>
            <w:pPr>
              <w:spacing w:after="40"/>
            </w:pPr>
            <w:r>
              <w:rPr>
                <w:sz w:val="20"/>
                <w:szCs w:val="20"/>
              </w:rPr>
              <w:t xml:space="preserve">7</w:t>
            </w:r>
          </w:p>
        </w:tc>
        <w:tc>
          <w:tcPr>
            <w:tcW w:type="dxa" w:w="1600"/>
            <w:shd w:fill="FFFFFF" w:val="clear"/>
            <w:tcMar>
              <w:top w:type="dxa" w:w="90"/>
              <w:left w:type="dxa" w:w="120"/>
              <w:bottom w:type="dxa" w:w="90"/>
              <w:right w:type="dxa" w:w="120"/>
            </w:tcMar>
          </w:tcPr>
          <w:p>
            <w:pPr>
              <w:spacing w:after="40"/>
            </w:pPr>
            <w:r>
              <w:rPr>
                <w:sz w:val="20"/>
                <w:szCs w:val="20"/>
              </w:rPr>
              <w:t xml:space="preserve">5</w:t>
            </w:r>
          </w:p>
        </w:tc>
        <w:tc>
          <w:tcPr>
            <w:tcW w:type="dxa" w:w="1300"/>
            <w:shd w:fill="FFFFFF" w:val="clear"/>
            <w:tcMar>
              <w:top w:type="dxa" w:w="90"/>
              <w:left w:type="dxa" w:w="120"/>
              <w:bottom w:type="dxa" w:w="90"/>
              <w:right w:type="dxa" w:w="120"/>
            </w:tcMar>
          </w:tcPr>
          <w:p>
            <w:pPr>
              <w:spacing w:after="40"/>
            </w:pPr>
            <w:r>
              <w:rPr>
                <w:sz w:val="20"/>
                <w:szCs w:val="20"/>
              </w:rPr>
              <w:t xml:space="preserve">5</w:t>
            </w:r>
          </w:p>
        </w:tc>
        <w:tc>
          <w:tcPr>
            <w:tcW w:type="dxa" w:w="1400"/>
            <w:shd w:fill="FFFFFF" w:val="clear"/>
            <w:tcMar>
              <w:top w:type="dxa" w:w="90"/>
              <w:left w:type="dxa" w:w="120"/>
              <w:bottom w:type="dxa" w:w="90"/>
              <w:right w:type="dxa" w:w="120"/>
            </w:tcMar>
          </w:tcPr>
          <w:p>
            <w:pPr>
              <w:spacing w:after="40"/>
            </w:pPr>
            <w:r>
              <w:rPr>
                <w:sz w:val="20"/>
                <w:szCs w:val="20"/>
              </w:rPr>
              <w:t xml:space="preserve">7</w:t>
            </w:r>
          </w:p>
        </w:tc>
        <w:tc>
          <w:tcPr>
            <w:tcW w:type="dxa" w:w="1660"/>
            <w:shd w:fill="FFFFFF" w:val="clear"/>
            <w:tcMar>
              <w:top w:type="dxa" w:w="90"/>
              <w:left w:type="dxa" w:w="120"/>
              <w:bottom w:type="dxa" w:w="90"/>
              <w:right w:type="dxa" w:w="120"/>
            </w:tcMar>
          </w:tcPr>
          <w:p>
            <w:pPr>
              <w:spacing w:after="40"/>
            </w:pPr>
            <w:r>
              <w:rPr>
                <w:sz w:val="20"/>
                <w:szCs w:val="20"/>
              </w:rPr>
              <w:t xml:space="preserve">5</w:t>
            </w:r>
          </w:p>
        </w:tc>
      </w:tr>
      <w:tr>
        <w:trPr>
          <w:cantSplit/>
        </w:trPr>
        <w:tc>
          <w:tcPr>
            <w:tcW w:type="dxa" w:w="900"/>
            <w:shd w:fill="F4F6F8" w:val="clear"/>
            <w:tcMar>
              <w:top w:type="dxa" w:w="90"/>
              <w:left w:type="dxa" w:w="120"/>
              <w:bottom w:type="dxa" w:w="90"/>
              <w:right w:type="dxa" w:w="120"/>
            </w:tcMar>
          </w:tcPr>
          <w:p>
            <w:pPr>
              <w:spacing w:after="40"/>
            </w:pPr>
            <w:r>
              <w:rPr>
                <w:sz w:val="20"/>
                <w:szCs w:val="20"/>
              </w:rPr>
              <w:t xml:space="preserve">2</w:t>
            </w:r>
          </w:p>
        </w:tc>
        <w:tc>
          <w:tcPr>
            <w:tcW w:type="dxa" w:w="2400"/>
            <w:shd w:fill="F4F6F8" w:val="clear"/>
            <w:tcMar>
              <w:top w:type="dxa" w:w="90"/>
              <w:left w:type="dxa" w:w="120"/>
              <w:bottom w:type="dxa" w:w="90"/>
              <w:right w:type="dxa" w:w="120"/>
            </w:tcMar>
          </w:tcPr>
          <w:p>
            <w:pPr>
              <w:spacing w:after="40"/>
            </w:pPr>
            <w:r>
              <w:rPr>
                <w:sz w:val="20"/>
                <w:szCs w:val="20"/>
              </w:rPr>
              <w:t xml:space="preserve">Eduvance</w:t>
            </w:r>
          </w:p>
        </w:tc>
        <w:tc>
          <w:tcPr>
            <w:tcW w:type="dxa" w:w="1100"/>
            <w:shd w:fill="F4F6F8" w:val="clear"/>
            <w:tcMar>
              <w:top w:type="dxa" w:w="90"/>
              <w:left w:type="dxa" w:w="120"/>
              <w:bottom w:type="dxa" w:w="90"/>
              <w:right w:type="dxa" w:w="120"/>
            </w:tcMar>
          </w:tcPr>
          <w:p>
            <w:pPr>
              <w:spacing w:after="40"/>
            </w:pPr>
            <w:r>
              <w:rPr>
                <w:sz w:val="20"/>
                <w:szCs w:val="20"/>
              </w:rPr>
              <w:t xml:space="preserve">6</w:t>
            </w:r>
          </w:p>
        </w:tc>
        <w:tc>
          <w:tcPr>
            <w:tcW w:type="dxa" w:w="1600"/>
            <w:shd w:fill="F4F6F8" w:val="clear"/>
            <w:tcMar>
              <w:top w:type="dxa" w:w="90"/>
              <w:left w:type="dxa" w:w="120"/>
              <w:bottom w:type="dxa" w:w="90"/>
              <w:right w:type="dxa" w:w="120"/>
            </w:tcMar>
          </w:tcPr>
          <w:p>
            <w:pPr>
              <w:spacing w:after="40"/>
            </w:pPr>
            <w:r>
              <w:rPr>
                <w:sz w:val="20"/>
                <w:szCs w:val="20"/>
              </w:rPr>
              <w:t xml:space="preserve">4</w:t>
            </w:r>
          </w:p>
        </w:tc>
        <w:tc>
          <w:tcPr>
            <w:tcW w:type="dxa" w:w="1300"/>
            <w:shd w:fill="F4F6F8" w:val="clear"/>
            <w:tcMar>
              <w:top w:type="dxa" w:w="90"/>
              <w:left w:type="dxa" w:w="120"/>
              <w:bottom w:type="dxa" w:w="90"/>
              <w:right w:type="dxa" w:w="120"/>
            </w:tcMar>
          </w:tcPr>
          <w:p>
            <w:pPr>
              <w:spacing w:after="40"/>
            </w:pPr>
            <w:r>
              <w:rPr>
                <w:sz w:val="20"/>
                <w:szCs w:val="20"/>
              </w:rPr>
              <w:t xml:space="preserve">3</w:t>
            </w:r>
          </w:p>
        </w:tc>
        <w:tc>
          <w:tcPr>
            <w:tcW w:type="dxa" w:w="1400"/>
            <w:shd w:fill="F4F6F8" w:val="clear"/>
            <w:tcMar>
              <w:top w:type="dxa" w:w="90"/>
              <w:left w:type="dxa" w:w="120"/>
              <w:bottom w:type="dxa" w:w="90"/>
              <w:right w:type="dxa" w:w="120"/>
            </w:tcMar>
          </w:tcPr>
          <w:p>
            <w:pPr>
              <w:spacing w:after="40"/>
            </w:pPr>
            <w:r>
              <w:rPr>
                <w:sz w:val="20"/>
                <w:szCs w:val="20"/>
              </w:rPr>
              <w:t xml:space="preserve">6</w:t>
            </w:r>
          </w:p>
        </w:tc>
        <w:tc>
          <w:tcPr>
            <w:tcW w:type="dxa" w:w="1660"/>
            <w:shd w:fill="F4F6F8" w:val="clear"/>
            <w:tcMar>
              <w:top w:type="dxa" w:w="90"/>
              <w:left w:type="dxa" w:w="120"/>
              <w:bottom w:type="dxa" w:w="90"/>
              <w:right w:type="dxa" w:w="120"/>
            </w:tcMar>
          </w:tcPr>
          <w:p>
            <w:pPr>
              <w:spacing w:after="40"/>
            </w:pPr>
            <w:r>
              <w:rPr>
                <w:sz w:val="20"/>
                <w:szCs w:val="20"/>
              </w:rPr>
              <w:t xml:space="preserve">3</w:t>
            </w:r>
          </w:p>
        </w:tc>
      </w:tr>
      <w:tr>
        <w:trPr>
          <w:cantSplit/>
        </w:trPr>
        <w:tc>
          <w:tcPr>
            <w:tcW w:type="dxa" w:w="900"/>
            <w:shd w:fill="FFFFFF" w:val="clear"/>
            <w:tcMar>
              <w:top w:type="dxa" w:w="90"/>
              <w:left w:type="dxa" w:w="120"/>
              <w:bottom w:type="dxa" w:w="90"/>
              <w:right w:type="dxa" w:w="120"/>
            </w:tcMar>
          </w:tcPr>
          <w:p>
            <w:pPr>
              <w:spacing w:after="40"/>
            </w:pPr>
            <w:r>
              <w:rPr>
                <w:sz w:val="20"/>
                <w:szCs w:val="20"/>
              </w:rPr>
              <w:t xml:space="preserve">3</w:t>
            </w:r>
          </w:p>
        </w:tc>
        <w:tc>
          <w:tcPr>
            <w:tcW w:type="dxa" w:w="2400"/>
            <w:shd w:fill="FFFFFF" w:val="clear"/>
            <w:tcMar>
              <w:top w:type="dxa" w:w="90"/>
              <w:left w:type="dxa" w:w="120"/>
              <w:bottom w:type="dxa" w:w="90"/>
              <w:right w:type="dxa" w:w="120"/>
            </w:tcMar>
          </w:tcPr>
          <w:p>
            <w:pPr>
              <w:spacing w:after="40"/>
            </w:pPr>
            <w:r>
              <w:rPr>
                <w:sz w:val="20"/>
                <w:szCs w:val="20"/>
              </w:rPr>
              <w:t xml:space="preserve">EduLearn</w:t>
            </w:r>
          </w:p>
        </w:tc>
        <w:tc>
          <w:tcPr>
            <w:tcW w:type="dxa" w:w="1100"/>
            <w:shd w:fill="FFFFFF" w:val="clear"/>
            <w:tcMar>
              <w:top w:type="dxa" w:w="90"/>
              <w:left w:type="dxa" w:w="120"/>
              <w:bottom w:type="dxa" w:w="90"/>
              <w:right w:type="dxa" w:w="120"/>
            </w:tcMar>
          </w:tcPr>
          <w:p>
            <w:pPr>
              <w:spacing w:after="40"/>
            </w:pPr>
            <w:r>
              <w:rPr>
                <w:sz w:val="20"/>
                <w:szCs w:val="20"/>
              </w:rPr>
              <w:t xml:space="preserve">6</w:t>
            </w:r>
          </w:p>
        </w:tc>
        <w:tc>
          <w:tcPr>
            <w:tcW w:type="dxa" w:w="1600"/>
            <w:shd w:fill="FFFFFF" w:val="clear"/>
            <w:tcMar>
              <w:top w:type="dxa" w:w="90"/>
              <w:left w:type="dxa" w:w="120"/>
              <w:bottom w:type="dxa" w:w="90"/>
              <w:right w:type="dxa" w:w="120"/>
            </w:tcMar>
          </w:tcPr>
          <w:p>
            <w:pPr>
              <w:spacing w:after="40"/>
            </w:pPr>
            <w:r>
              <w:rPr>
                <w:sz w:val="20"/>
                <w:szCs w:val="20"/>
              </w:rPr>
              <w:t xml:space="preserve">3</w:t>
            </w:r>
          </w:p>
        </w:tc>
        <w:tc>
          <w:tcPr>
            <w:tcW w:type="dxa" w:w="1300"/>
            <w:shd w:fill="FFFFFF" w:val="clear"/>
            <w:tcMar>
              <w:top w:type="dxa" w:w="90"/>
              <w:left w:type="dxa" w:w="120"/>
              <w:bottom w:type="dxa" w:w="90"/>
              <w:right w:type="dxa" w:w="120"/>
            </w:tcMar>
          </w:tcPr>
          <w:p>
            <w:pPr>
              <w:spacing w:after="40"/>
            </w:pPr>
            <w:r>
              <w:rPr>
                <w:sz w:val="20"/>
                <w:szCs w:val="20"/>
              </w:rPr>
              <w:t xml:space="preserve">2</w:t>
            </w:r>
          </w:p>
        </w:tc>
        <w:tc>
          <w:tcPr>
            <w:tcW w:type="dxa" w:w="1400"/>
            <w:shd w:fill="FFFFFF" w:val="clear"/>
            <w:tcMar>
              <w:top w:type="dxa" w:w="90"/>
              <w:left w:type="dxa" w:w="120"/>
              <w:bottom w:type="dxa" w:w="90"/>
              <w:right w:type="dxa" w:w="120"/>
            </w:tcMar>
          </w:tcPr>
          <w:p>
            <w:pPr>
              <w:spacing w:after="40"/>
            </w:pPr>
            <w:r>
              <w:rPr>
                <w:sz w:val="20"/>
                <w:szCs w:val="20"/>
              </w:rPr>
              <w:t xml:space="preserve">5</w:t>
            </w:r>
          </w:p>
        </w:tc>
        <w:tc>
          <w:tcPr>
            <w:tcW w:type="dxa" w:w="1660"/>
            <w:shd w:fill="FFFFFF" w:val="clear"/>
            <w:tcMar>
              <w:top w:type="dxa" w:w="90"/>
              <w:left w:type="dxa" w:w="120"/>
              <w:bottom w:type="dxa" w:w="90"/>
              <w:right w:type="dxa" w:w="120"/>
            </w:tcMar>
          </w:tcPr>
          <w:p>
            <w:pPr>
              <w:spacing w:after="40"/>
            </w:pPr>
            <w:r>
              <w:rPr>
                <w:sz w:val="20"/>
                <w:szCs w:val="20"/>
              </w:rPr>
              <w:t xml:space="preserve">2</w:t>
            </w:r>
          </w:p>
        </w:tc>
      </w:tr>
      <w:tr>
        <w:trPr>
          <w:cantSplit/>
        </w:trPr>
        <w:tc>
          <w:tcPr>
            <w:tcW w:type="dxa" w:w="900"/>
            <w:shd w:fill="F4F6F8" w:val="clear"/>
            <w:tcMar>
              <w:top w:type="dxa" w:w="90"/>
              <w:left w:type="dxa" w:w="120"/>
              <w:bottom w:type="dxa" w:w="90"/>
              <w:right w:type="dxa" w:w="120"/>
            </w:tcMar>
          </w:tcPr>
          <w:p>
            <w:pPr>
              <w:spacing w:after="40"/>
            </w:pPr>
            <w:r>
              <w:rPr>
                <w:sz w:val="20"/>
                <w:szCs w:val="20"/>
              </w:rPr>
              <w:t xml:space="preserve">4</w:t>
            </w:r>
          </w:p>
        </w:tc>
        <w:tc>
          <w:tcPr>
            <w:tcW w:type="dxa" w:w="2400"/>
            <w:shd w:fill="F4F6F8" w:val="clear"/>
            <w:tcMar>
              <w:top w:type="dxa" w:w="90"/>
              <w:left w:type="dxa" w:w="120"/>
              <w:bottom w:type="dxa" w:w="90"/>
              <w:right w:type="dxa" w:w="120"/>
            </w:tcMar>
          </w:tcPr>
          <w:p>
            <w:pPr>
              <w:spacing w:after="40"/>
            </w:pPr>
            <w:r>
              <w:rPr>
                <w:sz w:val="20"/>
                <w:szCs w:val="20"/>
              </w:rPr>
              <w:t xml:space="preserve">Stwedy</w:t>
            </w:r>
          </w:p>
        </w:tc>
        <w:tc>
          <w:tcPr>
            <w:tcW w:type="dxa" w:w="1100"/>
            <w:shd w:fill="F4F6F8" w:val="clear"/>
            <w:tcMar>
              <w:top w:type="dxa" w:w="90"/>
              <w:left w:type="dxa" w:w="120"/>
              <w:bottom w:type="dxa" w:w="90"/>
              <w:right w:type="dxa" w:w="120"/>
            </w:tcMar>
          </w:tcPr>
          <w:p>
            <w:pPr>
              <w:spacing w:after="40"/>
            </w:pPr>
            <w:r>
              <w:rPr>
                <w:sz w:val="20"/>
                <w:szCs w:val="20"/>
              </w:rPr>
              <w:t xml:space="preserve">6</w:t>
            </w:r>
          </w:p>
        </w:tc>
        <w:tc>
          <w:tcPr>
            <w:tcW w:type="dxa" w:w="1600"/>
            <w:shd w:fill="F4F6F8" w:val="clear"/>
            <w:tcMar>
              <w:top w:type="dxa" w:w="90"/>
              <w:left w:type="dxa" w:w="120"/>
              <w:bottom w:type="dxa" w:w="90"/>
              <w:right w:type="dxa" w:w="120"/>
            </w:tcMar>
          </w:tcPr>
          <w:p>
            <w:pPr>
              <w:spacing w:after="40"/>
            </w:pPr>
            <w:r>
              <w:rPr>
                <w:sz w:val="20"/>
                <w:szCs w:val="20"/>
              </w:rPr>
              <w:t xml:space="preserve">3</w:t>
            </w:r>
          </w:p>
        </w:tc>
        <w:tc>
          <w:tcPr>
            <w:tcW w:type="dxa" w:w="1300"/>
            <w:shd w:fill="F4F6F8" w:val="clear"/>
            <w:tcMar>
              <w:top w:type="dxa" w:w="90"/>
              <w:left w:type="dxa" w:w="120"/>
              <w:bottom w:type="dxa" w:w="90"/>
              <w:right w:type="dxa" w:w="120"/>
            </w:tcMar>
          </w:tcPr>
          <w:p>
            <w:pPr>
              <w:spacing w:after="40"/>
            </w:pPr>
            <w:r>
              <w:rPr>
                <w:sz w:val="20"/>
                <w:szCs w:val="20"/>
              </w:rPr>
              <w:t xml:space="preserve">2</w:t>
            </w:r>
          </w:p>
        </w:tc>
        <w:tc>
          <w:tcPr>
            <w:tcW w:type="dxa" w:w="1400"/>
            <w:shd w:fill="F4F6F8" w:val="clear"/>
            <w:tcMar>
              <w:top w:type="dxa" w:w="90"/>
              <w:left w:type="dxa" w:w="120"/>
              <w:bottom w:type="dxa" w:w="90"/>
              <w:right w:type="dxa" w:w="120"/>
            </w:tcMar>
          </w:tcPr>
          <w:p>
            <w:pPr>
              <w:spacing w:after="40"/>
            </w:pPr>
            <w:r>
              <w:rPr>
                <w:sz w:val="20"/>
                <w:szCs w:val="20"/>
              </w:rPr>
              <w:t xml:space="preserve">4</w:t>
            </w:r>
          </w:p>
        </w:tc>
        <w:tc>
          <w:tcPr>
            <w:tcW w:type="dxa" w:w="1660"/>
            <w:shd w:fill="F4F6F8" w:val="clear"/>
            <w:tcMar>
              <w:top w:type="dxa" w:w="90"/>
              <w:left w:type="dxa" w:w="120"/>
              <w:bottom w:type="dxa" w:w="90"/>
              <w:right w:type="dxa" w:w="120"/>
            </w:tcMar>
          </w:tcPr>
          <w:p>
            <w:pPr>
              <w:spacing w:after="40"/>
            </w:pPr>
            <w:r>
              <w:rPr>
                <w:sz w:val="20"/>
                <w:szCs w:val="20"/>
              </w:rPr>
              <w:t xml:space="preserve">2</w:t>
            </w:r>
          </w:p>
        </w:tc>
      </w:tr>
    </w:tbl>
    <w:p>
      <w:pPr>
        <w:pStyle w:val="Heading3"/>
      </w:pPr>
      <w:r>
        <w:t xml:space="preserve">Strategic Conclusion</w:t>
      </w:r>
    </w:p>
    <w:p>
      <w:pPr>
        <w:spacing w:after="160" w:line="288"/>
      </w:pPr>
      <w:r>
        <w:t xml:space="preserve">No single inspiration is close to the target aesthetic — all five skew consumer-edtech rather than executive-consulting. The correct move is not to pick a "winner" and reskin it, but to take Omekaa's page skeleton (the only one with sound enterprise-grade information architecture), graft on three borrowed components — the stat/course-card anatomy from Eduvance, the asymmetric number-tile grid and bold CTA band from EduLearn, and the floating proof-annotation card from Stwedy — and then rebuild the entire visual skin from zero in a navy/ivory/brass palette with serif display type, sharp (not pill-shaped) edges, and zero illustration or doodle work. This is detailed fully in Phase 2.</w:t>
      </w:r>
    </w:p>
    <w:p>
      <w:pPr>
        <w:pStyle w:val="Heading1"/>
        <w:pageBreakBefore/>
      </w:pPr>
      <w:r>
        <w:t xml:space="preserve">Phase 2 — Design Strategy</w:t>
      </w:r>
    </w:p>
    <w:p>
      <w:pPr>
        <w:spacing w:after="60" w:before="200"/>
      </w:pPr>
      <w:r>
        <w:rPr>
          <w:rFonts w:ascii="Calibri" w:cs="Calibri" w:eastAsia="Calibri" w:hAnsi="Calibri"/>
          <w:b/>
          <w:bCs/>
          <w:color w:val="C8962C"/>
          <w:spacing w:val="20"/>
          <w:sz w:val="18"/>
          <w:szCs w:val="18"/>
        </w:rPr>
        <w:t xml:space="preserve">THE BRIEF IN ONE LINE</w:t>
      </w:r>
    </w:p>
    <w:p>
      <w:pPr>
        <w:pBdr>
          <w:left w:val="single" w:color="C8962C" w:sz="18" w:space="8"/>
        </w:pBdr>
        <w:spacing w:after="200" w:before="120"/>
        <w:ind w:left="360"/>
      </w:pPr>
      <w:r>
        <w:rPr>
          <w:i/>
          <w:iCs/>
          <w:color w:val="0B1B33"/>
          <w:sz w:val="22"/>
          <w:szCs w:val="22"/>
        </w:rPr>
        <w:t xml:space="preserve">Not "a nicer course catalog." A page that reads like a placement outcomes report from a serious, selective institution — that happens to let you enroll at the bottom of every section.</w:t>
      </w:r>
    </w:p>
    <w:p>
      <w:pPr>
        <w:pStyle w:val="Heading2"/>
      </w:pPr>
      <w:r>
        <w:t xml:space="preserve">The Positioning Shift This Design Has to Make</w:t>
      </w:r>
    </w:p>
    <w:p>
      <w:pPr>
        <w:spacing w:after="160" w:line="288"/>
      </w:pPr>
      <w:r>
        <w:t xml:space="preserve">The current page sells products ("Add to Cart" on a SKU list). The redesign sells a transformation with products as the mechanism. Every section should answer an implicit question in this order: What do I become? → Who already became it? → How does the program get me there? → Which path is mine? → What exactly do I get? → What does it cost, and is it worth it? → I'm still unsure — convince me once more → Let's start.</w:t>
      </w:r>
    </w:p>
    <w:p>
      <w:pPr>
        <w:pStyle w:val="Heading2"/>
      </w:pPr>
      <w:r>
        <w:t xml:space="preserve">Three Reference Points, Stated Precisely</w:t>
      </w:r>
    </w:p>
    <w:p>
      <w:pPr>
        <w:pStyle w:val="ListParagraph"/>
        <w:numPr>
          <w:ilvl w:val="0"/>
          <w:numId w:val="2"/>
        </w:numPr>
        <w:spacing w:after="100" w:line="276"/>
      </w:pPr>
      <w:r>
        <w:t xml:space="preserve">Harvard Business School — institutional gravitas. Generous whitespace, serif display type, restrained color, photography of real people in real settings rather than stock-smiling models. Nothing shouts.</w:t>
      </w:r>
    </w:p>
    <w:p>
      <w:pPr>
        <w:pStyle w:val="ListParagraph"/>
        <w:numPr>
          <w:ilvl w:val="0"/>
          <w:numId w:val="2"/>
        </w:numPr>
        <w:spacing w:after="100" w:line="276"/>
      </w:pPr>
      <w:r>
        <w:t xml:space="preserve">McKinsey — data as design. Numbers are treated as hero content, not decoration: large, precise, sourced, and placed with intent ("98.7% placed in desired domain" given the same visual weight a consulting firm gives "$1.2T in client impact").</w:t>
      </w:r>
    </w:p>
    <w:p>
      <w:pPr>
        <w:pStyle w:val="ListParagraph"/>
        <w:numPr>
          <w:ilvl w:val="0"/>
          <w:numId w:val="2"/>
        </w:numPr>
        <w:spacing w:after="100" w:line="276"/>
      </w:pPr>
      <w:r>
        <w:t xml:space="preserve">Modern SaaS — usability and pace. Clear single-purpose CTAs, scannable comparison structures, mobile-first layout discipline, fast page rhythm — borrowed from Linear, Stripe, and Vercel-era B2B SaaS rather than from any of the supplied edtech inspirations.</w:t>
      </w:r>
    </w:p>
    <w:p>
      <w:pPr>
        <w:pStyle w:val="Heading2"/>
      </w:pPr>
      <w:r>
        <w:t xml:space="preserve">What "Premium" Means Here, Concretely</w:t>
      </w:r>
    </w:p>
    <w:p>
      <w:pPr>
        <w:pStyle w:val="ListParagraph"/>
        <w:numPr>
          <w:ilvl w:val="0"/>
          <w:numId w:val="3"/>
        </w:numPr>
        <w:spacing w:after="100" w:line="276"/>
      </w:pPr>
      <w:r>
        <w:t xml:space="preserve">Restraint over decoration — one accent color used sparingly beats three loud ones used often. No gradients, no blob shapes, no doodle illustration, no emoji-style icon badges floating on photos.</w:t>
      </w:r>
    </w:p>
    <w:p>
      <w:pPr>
        <w:pStyle w:val="ListParagraph"/>
        <w:numPr>
          <w:ilvl w:val="0"/>
          <w:numId w:val="3"/>
        </w:numPr>
        <w:spacing w:after="100" w:line="276"/>
      </w:pPr>
      <w:r>
        <w:t xml:space="preserve">Type does the heavy lifting — a confident serif display face for headlines signals institutional weight in a way no icon can; body copy stays in a clean, highly legible sans for executive scanability.</w:t>
      </w:r>
    </w:p>
    <w:p>
      <w:pPr>
        <w:pStyle w:val="ListParagraph"/>
        <w:numPr>
          <w:ilvl w:val="0"/>
          <w:numId w:val="3"/>
        </w:numPr>
        <w:spacing w:after="100" w:line="276"/>
      </w:pPr>
      <w:r>
        <w:t xml:space="preserve">Photography is real, not stock-cheerful — campus/office settings, genuine mentor headshots, real recruiter logos. If real photography isn't available at launch, use structured data visualizations and typographic hero treatments instead of generic stock photos of strangers giving thumbs-up.</w:t>
      </w:r>
    </w:p>
    <w:p>
      <w:pPr>
        <w:pStyle w:val="ListParagraph"/>
        <w:numPr>
          <w:ilvl w:val="0"/>
          <w:numId w:val="3"/>
        </w:numPr>
        <w:spacing w:after="100" w:line="276"/>
      </w:pPr>
      <w:r>
        <w:t xml:space="preserve">Numbers are sourced and specific — "98.7% placed in desired domain (n=700+ students, 2023–2026 cohorts)" outperforms a bare "98.7%" floating with no context, and reads as audited rather than asserted.</w:t>
      </w:r>
    </w:p>
    <w:p>
      <w:pPr>
        <w:pStyle w:val="ListParagraph"/>
        <w:numPr>
          <w:ilvl w:val="0"/>
          <w:numId w:val="3"/>
        </w:numPr>
        <w:spacing w:after="100" w:line="276"/>
      </w:pPr>
      <w:r>
        <w:t xml:space="preserve">Sharp, not round — rectangular cards with crisp 8–12px corner radii and hairline borders, not the heavily-rounded pill/blob language of the inspirations. Sharper geometry reads as more serious and more expensive.</w:t>
      </w:r>
    </w:p>
    <w:p>
      <w:pPr>
        <w:pStyle w:val="ListParagraph"/>
        <w:numPr>
          <w:ilvl w:val="0"/>
          <w:numId w:val="3"/>
        </w:numPr>
        <w:spacing w:after="100" w:line="276"/>
      </w:pPr>
      <w:r>
        <w:t xml:space="preserve">Negative space is a feature — sections breathe; nothing is crammed. A McKinsey deck never fills a slide edge-to-edge, and this page shouldn't either.</w:t>
      </w:r>
    </w:p>
    <w:p>
      <w:pPr>
        <w:pStyle w:val="Heading2"/>
      </w:pPr>
      <w:r>
        <w:t xml:space="preserve">What This Page Must Avoid</w:t>
      </w:r>
    </w:p>
    <w:p>
      <w:pPr>
        <w:pStyle w:val="ListParagraph"/>
        <w:numPr>
          <w:ilvl w:val="0"/>
          <w:numId w:val="2"/>
        </w:numPr>
        <w:spacing w:after="100" w:line="276"/>
      </w:pPr>
      <w:r>
        <w:t xml:space="preserve">Generic education-website tropes: graduation caps, lightbulb icons, floating books, doodle squiggles, confetti.</w:t>
      </w:r>
    </w:p>
    <w:p>
      <w:pPr>
        <w:pStyle w:val="ListParagraph"/>
        <w:numPr>
          <w:ilvl w:val="0"/>
          <w:numId w:val="2"/>
        </w:numPr>
        <w:spacing w:after="100" w:line="276"/>
      </w:pPr>
      <w:r>
        <w:t xml:space="preserve">Cheap gradients (the Omekaa-style saturated purple wash) and glassmorphism for its own sake.</w:t>
      </w:r>
    </w:p>
    <w:p>
      <w:pPr>
        <w:pStyle w:val="ListParagraph"/>
        <w:numPr>
          <w:ilvl w:val="0"/>
          <w:numId w:val="2"/>
        </w:numPr>
        <w:spacing w:after="100" w:line="276"/>
      </w:pPr>
      <w:r>
        <w:t xml:space="preserve">Pill-shaped chips, blob background shapes, and rounded "friendly" iconography — all five inspirations lean on this language, and all of it reads as consumer/youth, the opposite of the brief.</w:t>
      </w:r>
    </w:p>
    <w:p>
      <w:pPr>
        <w:pStyle w:val="ListParagraph"/>
        <w:numPr>
          <w:ilvl w:val="0"/>
          <w:numId w:val="2"/>
        </w:numPr>
        <w:spacing w:after="100" w:line="276"/>
      </w:pPr>
      <w:r>
        <w:t xml:space="preserve">Stock photography of generic smiling students giving thumbs-up to camera — replace with real cohort photography, mentor headshots, or abstracted data/typographic treatments.</w:t>
      </w:r>
    </w:p>
    <w:p>
      <w:pPr>
        <w:pStyle w:val="ListParagraph"/>
        <w:numPr>
          <w:ilvl w:val="0"/>
          <w:numId w:val="2"/>
        </w:numPr>
        <w:spacing w:after="100" w:line="276"/>
      </w:pPr>
      <w:r>
        <w:t xml:space="preserve">Excessive scroll-triggered animation — motion should clarify hierarchy (gentle fade/slide-up on scroll, a counted number-tick on stats) and never become the point of the page.</w:t>
      </w:r>
    </w:p>
    <w:p>
      <w:pPr>
        <w:pStyle w:val="ListParagraph"/>
        <w:numPr>
          <w:ilvl w:val="0"/>
          <w:numId w:val="2"/>
        </w:numPr>
        <w:spacing w:after="100" w:line="276"/>
      </w:pPr>
      <w:r>
        <w:t xml:space="preserve">SKU-list thinking — five near-identical product names with strike-through pricing and no narrative is the single biggest thing to design away from.</w:t>
      </w:r>
    </w:p>
    <w:p>
      <w:pPr>
        <w:pStyle w:val="Heading2"/>
      </w:pPr>
      <w:r>
        <w:t xml:space="preserve">The Emotional Arc of the Page</w:t>
      </w:r>
    </w:p>
    <w:p>
      <w:pPr>
        <w:spacing w:after="160" w:line="288"/>
      </w:pPr>
      <w:r>
        <w:t xml:space="preserve">A first-time visitor under placement-season pressure should feel, in order: recognized (the hero names their exact anxiety), reassured (the stat band and logo wall prove this works, fast), oriented (a guided path section tells them which product is theirs, removing the SKU-comparison burden), informed (program cards give full mechanics without making them hunt), confident (a comparison table removes any remaining doubt about which combo to choose), and finally moved to act (a single, clear, low-anxiety final CTA, backed by a last reassurance — refund/guarantee language or a no-commitment chat option).</w:t>
      </w:r>
    </w:p>
    <w:p>
      <w:pPr>
        <w:pStyle w:val="Heading1"/>
        <w:pageBreakBefore/>
      </w:pPr>
      <w:r>
        <w:t xml:space="preserve">Phase 3 — Ideal Courses Page Architecture</w:t>
      </w:r>
    </w:p>
    <w:p>
      <w:pPr>
        <w:spacing w:after="160" w:line="288"/>
      </w:pPr>
      <w:r>
        <w:t xml:space="preserve">Thirteen sections, in firing order. Each is specified with purpose, layout, content hierarchy, visual treatment, and the single conversion goal it serves. This sequence replaces the current flat six-category SKU list entirely.</w:t>
      </w:r>
    </w:p>
    <w:p>
      <w:pPr>
        <w:pStyle w:val="Heading3"/>
      </w:pPr>
      <w:r>
        <w:t xml:space="preserve">01. Navigation Bar (persistent)</w:t>
      </w:r>
    </w:p>
    <w:p>
      <w:pPr>
        <w:spacing w:after="160" w:line="288"/>
      </w:pPr>
      <w:r>
        <w:rPr>
          <w:i w:val="false"/>
          <w:iCs w:val="false"/>
        </w:rPr>
        <w:t xml:space="preserve">Orient the visitor instantly and keep one clear primary action always reachable, including on scroll.</w:t>
      </w:r>
    </w:p>
    <w:p>
      <w:pPr>
        <w:spacing w:after="120" w:line="276"/>
      </w:pPr>
      <w:r>
        <w:rPr>
          <w:b/>
          <w:bCs/>
          <w:color w:val="0B1B33"/>
          <w:sz w:val="21"/>
          <w:szCs w:val="21"/>
        </w:rPr>
        <w:t xml:space="preserve">Layout:  </w:t>
      </w:r>
      <w:r>
        <w:rPr>
          <w:sz w:val="21"/>
          <w:szCs w:val="21"/>
        </w:rPr>
        <w:t xml:space="preserve">Slim, fixed-on-scroll bar. Left: wordmark + the existing "Initiative by Alumni of Old IIM" credibility line, kept but typeset smaller and in small-caps rather than as a casual subtitle. Center-right: Home / Programs / Mentors / Testimonials. Far right: a single solid primary button ("Book Free Career Call" or "Enroll Now") — not a cart icon.</w:t>
      </w:r>
    </w:p>
    <w:p>
      <w:pPr>
        <w:spacing w:after="120" w:line="276"/>
      </w:pPr>
      <w:r>
        <w:rPr>
          <w:b/>
          <w:bCs/>
          <w:color w:val="0B1B33"/>
          <w:sz w:val="21"/>
          <w:szCs w:val="21"/>
        </w:rPr>
        <w:t xml:space="preserve">Content hierarchy:  </w:t>
      </w:r>
      <w:r>
        <w:rPr>
          <w:sz w:val="21"/>
          <w:szCs w:val="21"/>
        </w:rPr>
        <w:t xml:space="preserve">Wordmark and credibility line first; nav links second; CTA last but visually heaviest (only filled element in the bar).</w:t>
      </w:r>
    </w:p>
    <w:p>
      <w:pPr>
        <w:spacing w:after="120" w:line="276"/>
      </w:pPr>
      <w:r>
        <w:rPr>
          <w:b/>
          <w:bCs/>
          <w:color w:val="0B1B33"/>
          <w:sz w:val="21"/>
          <w:szCs w:val="21"/>
        </w:rPr>
        <w:t xml:space="preserve">Visual treatment:  </w:t>
      </w:r>
      <w:r>
        <w:rPr>
          <w:sz w:val="21"/>
          <w:szCs w:val="21"/>
        </w:rPr>
        <w:t xml:space="preserve">Ivory or white bar, hairline bottom border, no shadow until scrolled (then a 1px shadow appears for depth). Credibility line in gold, small-caps, letter-spaced.</w:t>
      </w:r>
    </w:p>
    <w:p>
      <w:pPr>
        <w:spacing w:after="120" w:line="276"/>
      </w:pPr>
      <w:r>
        <w:rPr>
          <w:b/>
          <w:bCs/>
          <w:color w:val="0B1B33"/>
          <w:sz w:val="21"/>
          <w:szCs w:val="21"/>
        </w:rPr>
        <w:t xml:space="preserve">Conversion goal:  </w:t>
      </w:r>
      <w:r>
        <w:rPr>
          <w:sz w:val="21"/>
          <w:szCs w:val="21"/>
        </w:rPr>
        <w:t xml:space="preserve">Reduce bounce by establishing legitimacy in the first 100ms; keep the primary CTA reachable from anywhere on an otherwise long page.</w:t>
      </w:r>
    </w:p>
    <w:p>
      <w:pPr>
        <w:pStyle w:val="Heading3"/>
      </w:pPr>
      <w:r>
        <w:t xml:space="preserve">02. Hero — The Outcome Promise</w:t>
      </w:r>
    </w:p>
    <w:p>
      <w:pPr>
        <w:spacing w:after="160" w:line="288"/>
      </w:pPr>
      <w:r>
        <w:rPr>
          <w:i w:val="false"/>
          <w:iCs w:val="false"/>
        </w:rPr>
        <w:t xml:space="preserve">Name the visitor's exact anxiety and promise the specific transformation, backed by one headline proof number, within the first viewport.</w:t>
      </w:r>
    </w:p>
    <w:p>
      <w:pPr>
        <w:spacing w:after="120" w:line="276"/>
      </w:pPr>
      <w:r>
        <w:rPr>
          <w:b/>
          <w:bCs/>
          <w:color w:val="0B1B33"/>
          <w:sz w:val="21"/>
          <w:szCs w:val="21"/>
        </w:rPr>
        <w:t xml:space="preserve">Layout:  </w:t>
      </w:r>
      <w:r>
        <w:rPr>
          <w:sz w:val="21"/>
          <w:szCs w:val="21"/>
        </w:rPr>
        <w:t xml:space="preserve">Asymmetric split, ~58/42. Left: eyebrow label ("For MBA Students Heading Into Placements"), serif display headline (e.g. "Committee Roles Don't Get You Shortlisted. Outcomes Do."), one-sentence subhead naming the mechanism (live projects, case comps, bootcamp), two CTAs (primary solid "Explore Programs", secondary ghost "Talk to a Mentor"), and a compact inline stat strip (9.6/10 rating · 5,000+ network · 98.7% placed in desired domain). Right: a single confident photo (mentor-with-student or cohort setting) with one small floating proof card pinned at a lower corner — borrowed from the Stwedy reference but restyled: white card, hairline border, one stat only (e.g. "700+ students mentored"), no icon clutter.</w:t>
      </w:r>
    </w:p>
    <w:p>
      <w:pPr>
        <w:spacing w:after="120" w:line="276"/>
      </w:pPr>
      <w:r>
        <w:rPr>
          <w:b/>
          <w:bCs/>
          <w:color w:val="0B1B33"/>
          <w:sz w:val="21"/>
          <w:szCs w:val="21"/>
        </w:rPr>
        <w:t xml:space="preserve">Content hierarchy:  </w:t>
      </w:r>
      <w:r>
        <w:rPr>
          <w:sz w:val="21"/>
          <w:szCs w:val="21"/>
        </w:rPr>
        <w:t xml:space="preserve">Headline &gt; subhead &gt; stat strip &gt; CTAs &gt; photo. The stat strip sits directly under the subhead so proof arrives before the ask.</w:t>
      </w:r>
    </w:p>
    <w:p>
      <w:pPr>
        <w:spacing w:after="120" w:line="276"/>
      </w:pPr>
      <w:r>
        <w:rPr>
          <w:b/>
          <w:bCs/>
          <w:color w:val="0B1B33"/>
          <w:sz w:val="21"/>
          <w:szCs w:val="21"/>
        </w:rPr>
        <w:t xml:space="preserve">Visual treatment:  </w:t>
      </w:r>
      <w:r>
        <w:rPr>
          <w:sz w:val="21"/>
          <w:szCs w:val="21"/>
        </w:rPr>
        <w:t xml:space="preserve">Ivory background, deep navy headline type, single gold accent used only on the eyebrow label and primary CTA. No gradient, no background shapes.</w:t>
      </w:r>
    </w:p>
    <w:p>
      <w:pPr>
        <w:spacing w:after="120" w:line="276"/>
      </w:pPr>
      <w:r>
        <w:rPr>
          <w:b/>
          <w:bCs/>
          <w:color w:val="0B1B33"/>
          <w:sz w:val="21"/>
          <w:szCs w:val="21"/>
        </w:rPr>
        <w:t xml:space="preserve">Conversion goal:  </w:t>
      </w:r>
      <w:r>
        <w:rPr>
          <w:sz w:val="21"/>
          <w:szCs w:val="21"/>
        </w:rPr>
        <w:t xml:space="preserve">Establish relevance and credibility before any scrolling; primary CTA captures high-intent visitors immediately, secondary CTA captures the cautious majority.</w:t>
      </w:r>
    </w:p>
    <w:p>
      <w:pPr>
        <w:pStyle w:val="Heading3"/>
      </w:pPr>
      <w:r>
        <w:t xml:space="preserve">03. Trust Bar — Recruiter Logo Wall</w:t>
      </w:r>
    </w:p>
    <w:p>
      <w:pPr>
        <w:spacing w:after="160" w:line="288"/>
      </w:pPr>
      <w:r>
        <w:rPr>
          <w:i w:val="false"/>
          <w:iCs w:val="false"/>
        </w:rPr>
        <w:t xml:space="preserve">Convert the buried testimonial-paragraph mentions of Accenture, KPMG, Kearney, Reliance, Pine Labs, JM Financial, and Times of India into the single highest-leverage, lowest-effort trust asset on the page.</w:t>
      </w:r>
    </w:p>
    <w:p>
      <w:pPr>
        <w:spacing w:after="120" w:line="276"/>
      </w:pPr>
      <w:r>
        <w:rPr>
          <w:b/>
          <w:bCs/>
          <w:color w:val="0B1B33"/>
          <w:sz w:val="21"/>
          <w:szCs w:val="21"/>
        </w:rPr>
        <w:t xml:space="preserve">Layout:  </w:t>
      </w:r>
      <w:r>
        <w:rPr>
          <w:sz w:val="21"/>
          <w:szCs w:val="21"/>
        </w:rPr>
        <w:t xml:space="preserve">Full-width, slim band immediately below the hero. Small label ("Our Students Now Work At") followed by a single-row, grayscale logo strip — 7 to 9 logos, evenly spaced, on hover gaining brand color.</w:t>
      </w:r>
    </w:p>
    <w:p>
      <w:pPr>
        <w:spacing w:after="120" w:line="276"/>
      </w:pPr>
      <w:r>
        <w:rPr>
          <w:b/>
          <w:bCs/>
          <w:color w:val="0B1B33"/>
          <w:sz w:val="21"/>
          <w:szCs w:val="21"/>
        </w:rPr>
        <w:t xml:space="preserve">Content hierarchy:  </w:t>
      </w:r>
      <w:r>
        <w:rPr>
          <w:sz w:val="21"/>
          <w:szCs w:val="21"/>
        </w:rPr>
        <w:t xml:space="preserve">Label is small and quiet; logos are the content. No CTA in this section — its job is silent reinforcement.</w:t>
      </w:r>
    </w:p>
    <w:p>
      <w:pPr>
        <w:spacing w:after="120" w:line="276"/>
      </w:pPr>
      <w:r>
        <w:rPr>
          <w:b/>
          <w:bCs/>
          <w:color w:val="0B1B33"/>
          <w:sz w:val="21"/>
          <w:szCs w:val="21"/>
        </w:rPr>
        <w:t xml:space="preserve">Visual treatment:  </w:t>
      </w:r>
      <w:r>
        <w:rPr>
          <w:sz w:val="21"/>
          <w:szCs w:val="21"/>
        </w:rPr>
        <w:t xml:space="preserve">Pale navy or off-white band to separate it from the hero without a hard color break. Logos kept in true brand colors only on hover for a refined micro-interaction.</w:t>
      </w:r>
    </w:p>
    <w:p>
      <w:pPr>
        <w:spacing w:after="120" w:line="276"/>
      </w:pPr>
      <w:r>
        <w:rPr>
          <w:b/>
          <w:bCs/>
          <w:color w:val="0B1B33"/>
          <w:sz w:val="21"/>
          <w:szCs w:val="21"/>
        </w:rPr>
        <w:t xml:space="preserve">Conversion goal:  </w:t>
      </w:r>
      <w:r>
        <w:rPr>
          <w:sz w:val="21"/>
          <w:szCs w:val="21"/>
        </w:rPr>
        <w:t xml:space="preserve">Borrowed authority — recruiter brand recognition does emotional work no copy can match, and it's nearly free to implement from data already on the homepage.</w:t>
      </w:r>
    </w:p>
    <w:p>
      <w:pPr>
        <w:pStyle w:val="Heading3"/>
      </w:pPr>
      <w:r>
        <w:t xml:space="preserve">04. Outcome Metrics Band</w:t>
      </w:r>
    </w:p>
    <w:p>
      <w:pPr>
        <w:spacing w:after="160" w:line="288"/>
      </w:pPr>
      <w:r>
        <w:rPr>
          <w:i w:val="false"/>
          <w:iCs w:val="false"/>
        </w:rPr>
        <w:t xml:space="preserve">Present the headline numbers (rating, network size, placement rate) as designed data, not floating page text, and add the recruiter-pipeline numbers MBA Partner already owns but doesn't surface (₹/CTC range, mentor count) for fuller proof.</w:t>
      </w:r>
    </w:p>
    <w:p>
      <w:pPr>
        <w:spacing w:after="120" w:line="276"/>
      </w:pPr>
      <w:r>
        <w:rPr>
          <w:b/>
          <w:bCs/>
          <w:color w:val="0B1B33"/>
          <w:sz w:val="21"/>
          <w:szCs w:val="21"/>
        </w:rPr>
        <w:t xml:space="preserve">Layout:  </w:t>
      </w:r>
      <w:r>
        <w:rPr>
          <w:sz w:val="21"/>
          <w:szCs w:val="21"/>
        </w:rPr>
        <w:t xml:space="preserve">4-tile horizontal grid (2x2 on tablet, stacked on mobile), each tile: large tabular numeral, short label beneath, thin top rule in gold. Example tiles: 9.6/10 Average Mentor Rating · 5,000+ Student Network · 98.7% Placed In Desired Domain · 40+ Mentors From Top B-Schools.</w:t>
      </w:r>
    </w:p>
    <w:p>
      <w:pPr>
        <w:spacing w:after="120" w:line="276"/>
      </w:pPr>
      <w:r>
        <w:rPr>
          <w:b/>
          <w:bCs/>
          <w:color w:val="0B1B33"/>
          <w:sz w:val="21"/>
          <w:szCs w:val="21"/>
        </w:rPr>
        <w:t xml:space="preserve">Content hierarchy:  </w:t>
      </w:r>
      <w:r>
        <w:rPr>
          <w:sz w:val="21"/>
          <w:szCs w:val="21"/>
        </w:rPr>
        <w:t xml:space="preserve">Numeral dominates (largest type on the page outside the hero headline); label is small-caps and secondary.</w:t>
      </w:r>
    </w:p>
    <w:p>
      <w:pPr>
        <w:spacing w:after="120" w:line="276"/>
      </w:pPr>
      <w:r>
        <w:rPr>
          <w:b/>
          <w:bCs/>
          <w:color w:val="0B1B33"/>
          <w:sz w:val="21"/>
          <w:szCs w:val="21"/>
        </w:rPr>
        <w:t xml:space="preserve">Visual treatment:  </w:t>
      </w:r>
      <w:r>
        <w:rPr>
          <w:sz w:val="21"/>
          <w:szCs w:val="21"/>
        </w:rPr>
        <w:t xml:space="preserve">Deep navy background for the full band (the page's one strong dark section before the next light section) so the numbers feel weighty, gold numerals or gold top-rule per tile, generous internal padding.</w:t>
      </w:r>
    </w:p>
    <w:p>
      <w:pPr>
        <w:spacing w:after="120" w:line="276"/>
      </w:pPr>
      <w:r>
        <w:rPr>
          <w:b/>
          <w:bCs/>
          <w:color w:val="0B1B33"/>
          <w:sz w:val="21"/>
          <w:szCs w:val="21"/>
        </w:rPr>
        <w:t xml:space="preserve">Conversion goal:  </w:t>
      </w:r>
      <w:r>
        <w:rPr>
          <w:sz w:val="21"/>
          <w:szCs w:val="21"/>
        </w:rPr>
        <w:t xml:space="preserve">Quantified credibility delivered with maximum visual confidence — this band does for MBA Partner what a 'by the numbers' slide does at the start of a consulting pitch deck.</w:t>
      </w:r>
    </w:p>
    <w:p>
      <w:pPr>
        <w:pStyle w:val="Heading3"/>
      </w:pPr>
      <w:r>
        <w:t xml:space="preserve">05. Guided Path Finder</w:t>
      </w:r>
    </w:p>
    <w:p>
      <w:pPr>
        <w:spacing w:after="160" w:line="288"/>
      </w:pPr>
      <w:r>
        <w:rPr>
          <w:i w:val="false"/>
          <w:iCs w:val="false"/>
        </w:rPr>
        <w:t xml:space="preserve">Solve the current page's worst failure: a buyer with a specific anxiety (no live project, weak interview reps, total beginner) is currently handed an undifferentiated SKU list. This section routes them.</w:t>
      </w:r>
    </w:p>
    <w:p>
      <w:pPr>
        <w:spacing w:after="120" w:line="276"/>
      </w:pPr>
      <w:r>
        <w:rPr>
          <w:b/>
          <w:bCs/>
          <w:color w:val="0B1B33"/>
          <w:sz w:val="21"/>
          <w:szCs w:val="21"/>
        </w:rPr>
        <w:t xml:space="preserve">Layout:  </w:t>
      </w:r>
      <w:r>
        <w:rPr>
          <w:sz w:val="21"/>
          <w:szCs w:val="21"/>
        </w:rPr>
        <w:t xml:space="preserve">Three-card selector, framed as a question ("Where are you starting from?"): Card A — "I have no real project on my CV" → routes to Live Projects. Card B — "I freeze in placement interviews" → routes to Placements Bootcamp. Card C — "I want the complete package" → routes to the flagship combo. Each card: short diagnostic copy, a single outcome-style benefit line, and a text link (not a full CTA button) into the relevant Programs section below.</w:t>
      </w:r>
    </w:p>
    <w:p>
      <w:pPr>
        <w:spacing w:after="120" w:line="276"/>
      </w:pPr>
      <w:r>
        <w:rPr>
          <w:b/>
          <w:bCs/>
          <w:color w:val="0B1B33"/>
          <w:sz w:val="21"/>
          <w:szCs w:val="21"/>
        </w:rPr>
        <w:t xml:space="preserve">Content hierarchy:  </w:t>
      </w:r>
      <w:r>
        <w:rPr>
          <w:sz w:val="21"/>
          <w:szCs w:val="21"/>
        </w:rPr>
        <w:t xml:space="preserve">The question itself is a mid-weight serif heading; the three cards carry equal visual weight (no card should look like the 'wrong answer').</w:t>
      </w:r>
    </w:p>
    <w:p>
      <w:pPr>
        <w:spacing w:after="120" w:line="276"/>
      </w:pPr>
      <w:r>
        <w:rPr>
          <w:b/>
          <w:bCs/>
          <w:color w:val="0B1B33"/>
          <w:sz w:val="21"/>
          <w:szCs w:val="21"/>
        </w:rPr>
        <w:t xml:space="preserve">Visual treatment:  </w:t>
      </w:r>
      <w:r>
        <w:rPr>
          <w:sz w:val="21"/>
          <w:szCs w:val="21"/>
        </w:rPr>
        <w:t xml:space="preserve">White background, three bordered cards with generous padding, a small numbered or lettered marker per card, hover state lifts the card with a subtle shadow.</w:t>
      </w:r>
    </w:p>
    <w:p>
      <w:pPr>
        <w:spacing w:after="120" w:line="276"/>
      </w:pPr>
      <w:r>
        <w:rPr>
          <w:b/>
          <w:bCs/>
          <w:color w:val="0B1B33"/>
          <w:sz w:val="21"/>
          <w:szCs w:val="21"/>
        </w:rPr>
        <w:t xml:space="preserve">Conversion goal:  </w:t>
      </w:r>
      <w:r>
        <w:rPr>
          <w:sz w:val="21"/>
          <w:szCs w:val="21"/>
        </w:rPr>
        <w:t xml:space="preserve">Replace cold SKU browsing with self-diagnosis — this is the single highest-leverage UX addition versus the current page and should materially reduce decision paralysis.</w:t>
      </w:r>
    </w:p>
    <w:p>
      <w:pPr>
        <w:pStyle w:val="Heading3"/>
      </w:pPr>
      <w:r>
        <w:t xml:space="preserve">06. Featured Programs</w:t>
      </w:r>
    </w:p>
    <w:p>
      <w:pPr>
        <w:spacing w:after="160" w:line="288"/>
      </w:pPr>
      <w:r>
        <w:rPr>
          <w:i w:val="false"/>
          <w:iCs w:val="false"/>
        </w:rPr>
        <w:t xml:space="preserve">Present the actual product line with full mechanics (what's included, duration, format, domain coverage) using a consistent, scannable card anatomy — replacing the current raw Wix product blocks.</w:t>
      </w:r>
    </w:p>
    <w:p>
      <w:pPr>
        <w:spacing w:after="120" w:line="276"/>
      </w:pPr>
      <w:r>
        <w:rPr>
          <w:b/>
          <w:bCs/>
          <w:color w:val="0B1B33"/>
          <w:sz w:val="21"/>
          <w:szCs w:val="21"/>
        </w:rPr>
        <w:t xml:space="preserve">Layout:  </w:t>
      </w:r>
      <w:r>
        <w:rPr>
          <w:sz w:val="21"/>
          <w:szCs w:val="21"/>
        </w:rPr>
        <w:t xml:space="preserve">Section intro (small label + heading: "Programs Built Around Placement Season"). Below, a card grid: 3-up on desktop, 1-up on mobile. Each card follows one fixed anatomy borrowed and upgraded from the Eduvance reference: category tag, program name, one-line outcome description, meta row (duration · format · domains covered), price (with original price struck through only when a real discount exists, framed as 'Cohort Price' rather than bare 'Sale Price'), and one full-width primary CTA ('View Program'). The flagship all-in-one combo card is visually distinguished with a slim 'Most Chosen' tag and a hairline gold border — not a louder color, just a marked border and tag, keeping restraint intact.</w:t>
      </w:r>
    </w:p>
    <w:p>
      <w:pPr>
        <w:spacing w:after="120" w:line="276"/>
      </w:pPr>
      <w:r>
        <w:rPr>
          <w:b/>
          <w:bCs/>
          <w:color w:val="0B1B33"/>
          <w:sz w:val="21"/>
          <w:szCs w:val="21"/>
        </w:rPr>
        <w:t xml:space="preserve">Content hierarchy:  </w:t>
      </w:r>
      <w:r>
        <w:rPr>
          <w:sz w:val="21"/>
          <w:szCs w:val="21"/>
        </w:rPr>
        <w:t xml:space="preserve">Category tag (smallest) → program name (largest in-card type) → outcome line → meta row → price → CTA, in that exact top-to-bottom order on every card with no exceptions, so the grid scans evenly.</w:t>
      </w:r>
    </w:p>
    <w:p>
      <w:pPr>
        <w:spacing w:after="120" w:line="276"/>
      </w:pPr>
      <w:r>
        <w:rPr>
          <w:b/>
          <w:bCs/>
          <w:color w:val="0B1B33"/>
          <w:sz w:val="21"/>
          <w:szCs w:val="21"/>
        </w:rPr>
        <w:t xml:space="preserve">Visual treatment:  </w:t>
      </w:r>
      <w:r>
        <w:rPr>
          <w:sz w:val="21"/>
          <w:szCs w:val="21"/>
        </w:rPr>
        <w:t xml:space="preserve">White cards on a pale ivory section background, 10px corner radius, hairline border, no drop shadow at rest (shadow appears only on hover) to keep the grid calm.</w:t>
      </w:r>
    </w:p>
    <w:p>
      <w:pPr>
        <w:spacing w:after="120" w:line="276"/>
      </w:pPr>
      <w:r>
        <w:rPr>
          <w:b/>
          <w:bCs/>
          <w:color w:val="0B1B33"/>
          <w:sz w:val="21"/>
          <w:szCs w:val="21"/>
        </w:rPr>
        <w:t xml:space="preserve">Conversion goal:  </w:t>
      </w:r>
      <w:r>
        <w:rPr>
          <w:sz w:val="21"/>
          <w:szCs w:val="21"/>
        </w:rPr>
        <w:t xml:space="preserve">This is the primary transactional section of the page — every other section exists to get the visitor here with enough trust and clarity to choose confidently.</w:t>
      </w:r>
    </w:p>
    <w:p>
      <w:pPr>
        <w:pStyle w:val="Heading3"/>
      </w:pPr>
      <w:r>
        <w:t xml:space="preserve">07. Program Comparison Table</w:t>
      </w:r>
    </w:p>
    <w:p>
      <w:pPr>
        <w:spacing w:after="160" w:line="288"/>
      </w:pPr>
      <w:r>
        <w:rPr>
          <w:i w:val="false"/>
          <w:iCs w:val="false"/>
        </w:rPr>
        <w:t xml:space="preserve">Directly resolve the current page's worst objection: five similarly-named combo SKUs with no comparison aid. Let the buyer compare at a glance instead of cross-referencing five separate blocks.</w:t>
      </w:r>
    </w:p>
    <w:p>
      <w:pPr>
        <w:spacing w:after="120" w:line="276"/>
      </w:pPr>
      <w:r>
        <w:rPr>
          <w:b/>
          <w:bCs/>
          <w:color w:val="0B1B33"/>
          <w:sz w:val="21"/>
          <w:szCs w:val="21"/>
        </w:rPr>
        <w:t xml:space="preserve">Layout:  </w:t>
      </w:r>
      <w:r>
        <w:rPr>
          <w:sz w:val="21"/>
          <w:szCs w:val="21"/>
        </w:rPr>
        <w:t xml:space="preserve">A clean comparison table: combos as columns, attributes as rows (Live Project access, Case Competition access, Bootcamp modules included, Mentor 1:1 sessions, Domain coverage, Certificate, Price). Checkmarks/dashes for binary attributes, plain values for the rest. The flagship combo column gets a subtle header highlight (gold top border) to guide the default recommendation without using aggressive 'BEST VALUE' badge language.</w:t>
      </w:r>
    </w:p>
    <w:p>
      <w:pPr>
        <w:spacing w:after="120" w:line="276"/>
      </w:pPr>
      <w:r>
        <w:rPr>
          <w:b/>
          <w:bCs/>
          <w:color w:val="0B1B33"/>
          <w:sz w:val="21"/>
          <w:szCs w:val="21"/>
        </w:rPr>
        <w:t xml:space="preserve">Content hierarchy:  </w:t>
      </w:r>
      <w:r>
        <w:rPr>
          <w:sz w:val="21"/>
          <w:szCs w:val="21"/>
        </w:rPr>
        <w:t xml:space="preserve">Row labels in the left-most column stay fixed/sticky on scroll for mobile; combo names are the table's only bolded header row.</w:t>
      </w:r>
    </w:p>
    <w:p>
      <w:pPr>
        <w:spacing w:after="120" w:line="276"/>
      </w:pPr>
      <w:r>
        <w:rPr>
          <w:b/>
          <w:bCs/>
          <w:color w:val="0B1B33"/>
          <w:sz w:val="21"/>
          <w:szCs w:val="21"/>
        </w:rPr>
        <w:t xml:space="preserve">Visual treatment:  </w:t>
      </w:r>
      <w:r>
        <w:rPr>
          <w:sz w:val="21"/>
          <w:szCs w:val="21"/>
        </w:rPr>
        <w:t xml:space="preserve">Minimal grid lines (hairline, light gray), generous cell padding, navy text on white, no zebra-striping needed if padding is generous enough — keeps it closer to a finance term sheet than a marketing table.</w:t>
      </w:r>
    </w:p>
    <w:p>
      <w:pPr>
        <w:spacing w:after="120" w:line="276"/>
      </w:pPr>
      <w:r>
        <w:rPr>
          <w:b/>
          <w:bCs/>
          <w:color w:val="0B1B33"/>
          <w:sz w:val="21"/>
          <w:szCs w:val="21"/>
        </w:rPr>
        <w:t xml:space="preserve">Conversion goal:  </w:t>
      </w:r>
      <w:r>
        <w:rPr>
          <w:sz w:val="21"/>
          <w:szCs w:val="21"/>
        </w:rPr>
        <w:t xml:space="preserve">Removes the single biggest source of purchase hesitation identified in Phase 1 — choice overload among near-identical SKUs.</w:t>
      </w:r>
    </w:p>
    <w:p>
      <w:pPr>
        <w:pStyle w:val="Heading3"/>
      </w:pPr>
      <w:r>
        <w:t xml:space="preserve">08. How It Works — The Journey</w:t>
      </w:r>
    </w:p>
    <w:p>
      <w:pPr>
        <w:spacing w:after="160" w:line="288"/>
      </w:pPr>
      <w:r>
        <w:rPr>
          <w:i w:val="false"/>
          <w:iCs w:val="false"/>
        </w:rPr>
        <w:t xml:space="preserve">Answer the unstated-but-real question 'what actually happens after I pay' — format, cadence, and touchpoints — which the current page never addresses at all.</w:t>
      </w:r>
    </w:p>
    <w:p>
      <w:pPr>
        <w:spacing w:after="120" w:line="276"/>
      </w:pPr>
      <w:r>
        <w:rPr>
          <w:b/>
          <w:bCs/>
          <w:color w:val="0B1B33"/>
          <w:sz w:val="21"/>
          <w:szCs w:val="21"/>
        </w:rPr>
        <w:t xml:space="preserve">Layout:  </w:t>
      </w:r>
      <w:r>
        <w:rPr>
          <w:sz w:val="21"/>
          <w:szCs w:val="21"/>
        </w:rPr>
        <w:t xml:space="preserve">Horizontal 4-step timeline (vertical stack on mobile): 1. Enroll &amp; Onboard → 2. Get Matched to a Mentor &amp; Domain → 3. Execute Live Project / Bootcamp Modules → 4. Mock Interviews &amp; Placement Support. Each step: numeral, short title, one-sentence description.</w:t>
      </w:r>
    </w:p>
    <w:p>
      <w:pPr>
        <w:spacing w:after="120" w:line="276"/>
      </w:pPr>
      <w:r>
        <w:rPr>
          <w:b/>
          <w:bCs/>
          <w:color w:val="0B1B33"/>
          <w:sz w:val="21"/>
          <w:szCs w:val="21"/>
        </w:rPr>
        <w:t xml:space="preserve">Content hierarchy:  </w:t>
      </w:r>
      <w:r>
        <w:rPr>
          <w:sz w:val="21"/>
          <w:szCs w:val="21"/>
        </w:rPr>
        <w:t xml:space="preserve">Step numerals are the visual anchor (large, gold, tabular numerals); connecting line between steps reinforces linear progression.</w:t>
      </w:r>
    </w:p>
    <w:p>
      <w:pPr>
        <w:spacing w:after="120" w:line="276"/>
      </w:pPr>
      <w:r>
        <w:rPr>
          <w:b/>
          <w:bCs/>
          <w:color w:val="0B1B33"/>
          <w:sz w:val="21"/>
          <w:szCs w:val="21"/>
        </w:rPr>
        <w:t xml:space="preserve">Visual treatment:  </w:t>
      </w:r>
      <w:r>
        <w:rPr>
          <w:sz w:val="21"/>
          <w:szCs w:val="21"/>
        </w:rPr>
        <w:t xml:space="preserve">Pale section background, thin horizontal connector line, no illustration — numerals and a connecting rule carry the entire visual system, consistent with the page's 'no doodle iconography' rule.</w:t>
      </w:r>
    </w:p>
    <w:p>
      <w:pPr>
        <w:spacing w:after="120" w:line="276"/>
      </w:pPr>
      <w:r>
        <w:rPr>
          <w:b/>
          <w:bCs/>
          <w:color w:val="0B1B33"/>
          <w:sz w:val="21"/>
          <w:szCs w:val="21"/>
        </w:rPr>
        <w:t xml:space="preserve">Conversion goal:  </w:t>
      </w:r>
      <w:r>
        <w:rPr>
          <w:sz w:val="21"/>
          <w:szCs w:val="21"/>
        </w:rPr>
        <w:t xml:space="preserve">Reduces format-related uncertainty (one of the Phase 1 objections) and reframes the purchase as a structured program rather than a loose bundle of digital goods.</w:t>
      </w:r>
    </w:p>
    <w:p>
      <w:pPr>
        <w:pStyle w:val="Heading3"/>
      </w:pPr>
      <w:r>
        <w:t xml:space="preserve">09. Mentor Credibility Wall</w:t>
      </w:r>
    </w:p>
    <w:p>
      <w:pPr>
        <w:spacing w:after="160" w:line="288"/>
      </w:pPr>
      <w:r>
        <w:rPr>
          <w:i w:val="false"/>
          <w:iCs w:val="false"/>
        </w:rPr>
        <w:t xml:space="preserve">Convert the abstract claim 'Mentors from Top B-Schools' into named, photographed, credentialed proof — the single largest credibility gap identified in Phase 1.</w:t>
      </w:r>
    </w:p>
    <w:p>
      <w:pPr>
        <w:spacing w:after="120" w:line="276"/>
      </w:pPr>
      <w:r>
        <w:rPr>
          <w:b/>
          <w:bCs/>
          <w:color w:val="0B1B33"/>
          <w:sz w:val="21"/>
          <w:szCs w:val="21"/>
        </w:rPr>
        <w:t xml:space="preserve">Layout:  </w:t>
      </w:r>
      <w:r>
        <w:rPr>
          <w:sz w:val="21"/>
          <w:szCs w:val="21"/>
        </w:rPr>
        <w:t xml:space="preserve">Grid of mentor cards, 4-up desktop / 2-up tablet / 1-up mobile: headshot, name, one-line credential ('IIM Ahmedabad · ex-Strategy, Accenture'), and the domain they mentor in as a small tag. A 'View All Mentors' link beneath the grid if the full roster is larger.</w:t>
      </w:r>
    </w:p>
    <w:p>
      <w:pPr>
        <w:spacing w:after="120" w:line="276"/>
      </w:pPr>
      <w:r>
        <w:rPr>
          <w:b/>
          <w:bCs/>
          <w:color w:val="0B1B33"/>
          <w:sz w:val="21"/>
          <w:szCs w:val="21"/>
        </w:rPr>
        <w:t xml:space="preserve">Content hierarchy:  </w:t>
      </w:r>
      <w:r>
        <w:rPr>
          <w:sz w:val="21"/>
          <w:szCs w:val="21"/>
        </w:rPr>
        <w:t xml:space="preserve">Photo and credential line carry equal weight; name is smallest text in the card (deliberately — the institution name does more persuasive work for this audience than the individual's name).</w:t>
      </w:r>
    </w:p>
    <w:p>
      <w:pPr>
        <w:spacing w:after="120" w:line="276"/>
      </w:pPr>
      <w:r>
        <w:rPr>
          <w:b/>
          <w:bCs/>
          <w:color w:val="0B1B33"/>
          <w:sz w:val="21"/>
          <w:szCs w:val="21"/>
        </w:rPr>
        <w:t xml:space="preserve">Visual treatment:  </w:t>
      </w:r>
      <w:r>
        <w:rPr>
          <w:sz w:val="21"/>
          <w:szCs w:val="21"/>
        </w:rPr>
        <w:t xml:space="preserve">Square or 4:5 headshot crop for consistency, thin border, credential text in navy, domain tag in a quiet outlined pill (the one place a soft pill shape is acceptable, since it's functioning as a filter-style tag, not decoration).</w:t>
      </w:r>
    </w:p>
    <w:p>
      <w:pPr>
        <w:spacing w:after="120" w:line="276"/>
      </w:pPr>
      <w:r>
        <w:rPr>
          <w:b/>
          <w:bCs/>
          <w:color w:val="0B1B33"/>
          <w:sz w:val="21"/>
          <w:szCs w:val="21"/>
        </w:rPr>
        <w:t xml:space="preserve">Conversion goal:  </w:t>
      </w:r>
      <w:r>
        <w:rPr>
          <w:sz w:val="21"/>
          <w:szCs w:val="21"/>
        </w:rPr>
        <w:t xml:space="preserve">Directly resolves the 'are the mentors actually from top schools, or is that just marketing copy' objection from Phase 1 with verifiable, specific proof.</w:t>
      </w:r>
    </w:p>
    <w:p>
      <w:pPr>
        <w:pStyle w:val="Heading3"/>
      </w:pPr>
      <w:r>
        <w:t xml:space="preserve">10. Student Outcome Stories</w:t>
      </w:r>
    </w:p>
    <w:p>
      <w:pPr>
        <w:spacing w:after="160" w:line="288"/>
      </w:pPr>
      <w:r>
        <w:rPr>
          <w:i w:val="false"/>
          <w:iCs w:val="false"/>
        </w:rPr>
        <w:t xml:space="preserve">Upgrade the existing strong but unstructured testimonials (Nishant – IIM Ahmedabad, Shen – IIM Bangalore, Rutuja – IIM Calcutta, etc.) into a scannable proof section with the outcome stated up top instead of buried mid-paragraph.</w:t>
      </w:r>
    </w:p>
    <w:p>
      <w:pPr>
        <w:spacing w:after="120" w:line="276"/>
      </w:pPr>
      <w:r>
        <w:rPr>
          <w:b/>
          <w:bCs/>
          <w:color w:val="0B1B33"/>
          <w:sz w:val="21"/>
          <w:szCs w:val="21"/>
        </w:rPr>
        <w:t xml:space="preserve">Layout:  </w:t>
      </w:r>
      <w:r>
        <w:rPr>
          <w:sz w:val="21"/>
          <w:szCs w:val="21"/>
        </w:rPr>
        <w:t xml:space="preserve">Featured large-format story (1–2 of the strongest, e.g. Shen Shaji's Media.net Product Management story) as a pull-quote block with photo, name, institution, and landed-role/company stated as a small badge above the quote. Below it, a 3-up grid of shorter testimonial cards in the same anatomy as the homepage's lower testimonial grid, but with the destination company/institution promoted to a visible line rather than only appearing inline in prose.</w:t>
      </w:r>
    </w:p>
    <w:p>
      <w:pPr>
        <w:spacing w:after="120" w:line="276"/>
      </w:pPr>
      <w:r>
        <w:rPr>
          <w:b/>
          <w:bCs/>
          <w:color w:val="0B1B33"/>
          <w:sz w:val="21"/>
          <w:szCs w:val="21"/>
        </w:rPr>
        <w:t xml:space="preserve">Content hierarchy:  </w:t>
      </w:r>
      <w:r>
        <w:rPr>
          <w:sz w:val="21"/>
          <w:szCs w:val="21"/>
        </w:rPr>
        <w:t xml:space="preserve">Outcome badge (role + company) sits above the quote, not after it — buyers scan the result first, the story second.</w:t>
      </w:r>
    </w:p>
    <w:p>
      <w:pPr>
        <w:spacing w:after="120" w:line="276"/>
      </w:pPr>
      <w:r>
        <w:rPr>
          <w:b/>
          <w:bCs/>
          <w:color w:val="0B1B33"/>
          <w:sz w:val="21"/>
          <w:szCs w:val="21"/>
        </w:rPr>
        <w:t xml:space="preserve">Visual treatment:  </w:t>
      </w:r>
      <w:r>
        <w:rPr>
          <w:sz w:val="21"/>
          <w:szCs w:val="21"/>
        </w:rPr>
        <w:t xml:space="preserve">Mix of one large quote block (navy background, white serif quote type, gold rule) and smaller white cards below — creates rhythm and prevents the section from reading as one undifferentiated wall of quotes.</w:t>
      </w:r>
    </w:p>
    <w:p>
      <w:pPr>
        <w:spacing w:after="120" w:line="276"/>
      </w:pPr>
      <w:r>
        <w:rPr>
          <w:b/>
          <w:bCs/>
          <w:color w:val="0B1B33"/>
          <w:sz w:val="21"/>
          <w:szCs w:val="21"/>
        </w:rPr>
        <w:t xml:space="preserve">Conversion goal:  </w:t>
      </w:r>
      <w:r>
        <w:rPr>
          <w:sz w:val="21"/>
          <w:szCs w:val="21"/>
        </w:rPr>
        <w:t xml:space="preserve">Specific, named, outcome-led social proof is the strongest persuasion asset this business has; this section finally gives it the visual prominence it deserves.</w:t>
      </w:r>
    </w:p>
    <w:p>
      <w:pPr>
        <w:pStyle w:val="Heading3"/>
      </w:pPr>
      <w:r>
        <w:t xml:space="preserve">11. FAQ</w:t>
      </w:r>
    </w:p>
    <w:p>
      <w:pPr>
        <w:spacing w:after="160" w:line="288"/>
      </w:pPr>
      <w:r>
        <w:rPr>
          <w:i w:val="false"/>
          <w:iCs w:val="false"/>
        </w:rPr>
        <w:t xml:space="preserve">Resolve remaining objections (time commitment, refunds, domain fit, mentor access) at the exact point of decision, on the page itself, rather than forcing the buyer to seek answers elsewhere or abandon.</w:t>
      </w:r>
    </w:p>
    <w:p>
      <w:pPr>
        <w:spacing w:after="120" w:line="276"/>
      </w:pPr>
      <w:r>
        <w:rPr>
          <w:b/>
          <w:bCs/>
          <w:color w:val="0B1B33"/>
          <w:sz w:val="21"/>
          <w:szCs w:val="21"/>
        </w:rPr>
        <w:t xml:space="preserve">Layout:  </w:t>
      </w:r>
      <w:r>
        <w:rPr>
          <w:sz w:val="21"/>
          <w:szCs w:val="21"/>
        </w:rPr>
        <w:t xml:space="preserve">Two-column accordion on desktop (single column on mobile), 6–8 questions: 'How much time does this take alongside coursework?', 'Can I switch domains after enrolling?', 'What if I'm not placed — is there a guarantee?', 'How is a Live Project different from a Case Competition?', 'Do I get 1:1 mentor access?', 'What happens after I pay?'.</w:t>
      </w:r>
    </w:p>
    <w:p>
      <w:pPr>
        <w:spacing w:after="120" w:line="276"/>
      </w:pPr>
      <w:r>
        <w:rPr>
          <w:b/>
          <w:bCs/>
          <w:color w:val="0B1B33"/>
          <w:sz w:val="21"/>
          <w:szCs w:val="21"/>
        </w:rPr>
        <w:t xml:space="preserve">Content hierarchy:  </w:t>
      </w:r>
      <w:r>
        <w:rPr>
          <w:sz w:val="21"/>
          <w:szCs w:val="21"/>
        </w:rPr>
        <w:t xml:space="preserve">Question text is the only always-visible element; answers expand on click, keeping the section compact until engaged.</w:t>
      </w:r>
    </w:p>
    <w:p>
      <w:pPr>
        <w:spacing w:after="120" w:line="276"/>
      </w:pPr>
      <w:r>
        <w:rPr>
          <w:b/>
          <w:bCs/>
          <w:color w:val="0B1B33"/>
          <w:sz w:val="21"/>
          <w:szCs w:val="21"/>
        </w:rPr>
        <w:t xml:space="preserve">Visual treatment:  </w:t>
      </w:r>
      <w:r>
        <w:rPr>
          <w:sz w:val="21"/>
          <w:szCs w:val="21"/>
        </w:rPr>
        <w:t xml:space="preserve">Clean hairline dividers between questions, a plus/minus or chevron toggle, generous line-height in answers for executive-level readability.</w:t>
      </w:r>
    </w:p>
    <w:p>
      <w:pPr>
        <w:spacing w:after="120" w:line="276"/>
      </w:pPr>
      <w:r>
        <w:rPr>
          <w:b/>
          <w:bCs/>
          <w:color w:val="0B1B33"/>
          <w:sz w:val="21"/>
          <w:szCs w:val="21"/>
        </w:rPr>
        <w:t xml:space="preserve">Conversion goal:  </w:t>
      </w:r>
      <w:r>
        <w:rPr>
          <w:sz w:val="21"/>
          <w:szCs w:val="21"/>
        </w:rPr>
        <w:t xml:space="preserve">Captures and resolves late-stage hesitation in place, preventing silent exits to search for answers (and potential competitors) elsewhere.</w:t>
      </w:r>
    </w:p>
    <w:p>
      <w:pPr>
        <w:pStyle w:val="Heading3"/>
      </w:pPr>
      <w:r>
        <w:t xml:space="preserve">12. Final CTA — Closing Band</w:t>
      </w:r>
    </w:p>
    <w:p>
      <w:pPr>
        <w:spacing w:after="160" w:line="288"/>
      </w:pPr>
      <w:r>
        <w:rPr>
          <w:i w:val="false"/>
          <w:iCs w:val="false"/>
        </w:rPr>
        <w:t xml:space="preserve">One last, low-anxiety, high-confidence push to act, paired with a reassurance element, before the footer.</w:t>
      </w:r>
    </w:p>
    <w:p>
      <w:pPr>
        <w:spacing w:after="120" w:line="276"/>
      </w:pPr>
      <w:r>
        <w:rPr>
          <w:b/>
          <w:bCs/>
          <w:color w:val="0B1B33"/>
          <w:sz w:val="21"/>
          <w:szCs w:val="21"/>
        </w:rPr>
        <w:t xml:space="preserve">Layout:  </w:t>
      </w:r>
      <w:r>
        <w:rPr>
          <w:sz w:val="21"/>
          <w:szCs w:val="21"/>
        </w:rPr>
        <w:t xml:space="preserve">Full-width contrast band (borrowed structurally from the EduLearn closing-CTA pattern, restyled). Left: short closing line ('Placement Season Doesn't Wait. Neither Should You.') plus the two CTAs again (primary 'Enroll Now', secondary 'Book a Free Career Call'). Right or beneath: a compact reassurance strip — refund/guarantee language if one exists, or 'Trusted by 5,000+ MBA students since [year]'.</w:t>
      </w:r>
    </w:p>
    <w:p>
      <w:pPr>
        <w:spacing w:after="120" w:line="276"/>
      </w:pPr>
      <w:r>
        <w:rPr>
          <w:b/>
          <w:bCs/>
          <w:color w:val="0B1B33"/>
          <w:sz w:val="21"/>
          <w:szCs w:val="21"/>
        </w:rPr>
        <w:t xml:space="preserve">Content hierarchy:  </w:t>
      </w:r>
      <w:r>
        <w:rPr>
          <w:sz w:val="21"/>
          <w:szCs w:val="21"/>
        </w:rPr>
        <w:t xml:space="preserve">Headline first, CTAs second, reassurance microcopy last but always present — never end the page on an unhedged ask.</w:t>
      </w:r>
    </w:p>
    <w:p>
      <w:pPr>
        <w:spacing w:after="120" w:line="276"/>
      </w:pPr>
      <w:r>
        <w:rPr>
          <w:b/>
          <w:bCs/>
          <w:color w:val="0B1B33"/>
          <w:sz w:val="21"/>
          <w:szCs w:val="21"/>
        </w:rPr>
        <w:t xml:space="preserve">Visual treatment:  </w:t>
      </w:r>
      <w:r>
        <w:rPr>
          <w:sz w:val="21"/>
          <w:szCs w:val="21"/>
        </w:rPr>
        <w:t xml:space="preserve">Deep navy background, ivory/white type, single gold solid CTA button, ghost-style secondary button in white outline — the visual bookend to the hero, signaling the page has come full circle.</w:t>
      </w:r>
    </w:p>
    <w:p>
      <w:pPr>
        <w:spacing w:after="120" w:line="276"/>
      </w:pPr>
      <w:r>
        <w:rPr>
          <w:b/>
          <w:bCs/>
          <w:color w:val="0B1B33"/>
          <w:sz w:val="21"/>
          <w:szCs w:val="21"/>
        </w:rPr>
        <w:t xml:space="preserve">Conversion goal:  </w:t>
      </w:r>
      <w:r>
        <w:rPr>
          <w:sz w:val="21"/>
          <w:szCs w:val="21"/>
        </w:rPr>
        <w:t xml:space="preserve">Captures visitors who scrolled the entire page without converting earlier — the last, most complete pitch, paired with risk reduction.</w:t>
      </w:r>
    </w:p>
    <w:p>
      <w:pPr>
        <w:pStyle w:val="Heading3"/>
      </w:pPr>
      <w:r>
        <w:t xml:space="preserve">13. Footer</w:t>
      </w:r>
    </w:p>
    <w:p>
      <w:pPr>
        <w:spacing w:after="160" w:line="288"/>
      </w:pPr>
      <w:r>
        <w:rPr>
          <w:i w:val="false"/>
          <w:iCs w:val="false"/>
        </w:rPr>
        <w:t xml:space="preserve">Administrative wayfinding, secondary trust signals, and community channels (WhatsApp/Telegram), without competing for attention with the page's real CTAs.</w:t>
      </w:r>
    </w:p>
    <w:p>
      <w:pPr>
        <w:spacing w:after="120" w:line="276"/>
      </w:pPr>
      <w:r>
        <w:rPr>
          <w:b/>
          <w:bCs/>
          <w:color w:val="0B1B33"/>
          <w:sz w:val="21"/>
          <w:szCs w:val="21"/>
        </w:rPr>
        <w:t xml:space="preserve">Layout:  </w:t>
      </w:r>
      <w:r>
        <w:rPr>
          <w:sz w:val="21"/>
          <w:szCs w:val="21"/>
        </w:rPr>
        <w:t xml:space="preserve">Standard multi-column footer: wordmark + one-line credibility statement, quick links, programs, community channels (WhatsApp, Telegram, LinkedIn, Instagram), contact, legal links.</w:t>
      </w:r>
    </w:p>
    <w:p>
      <w:pPr>
        <w:spacing w:after="120" w:line="276"/>
      </w:pPr>
      <w:r>
        <w:rPr>
          <w:b/>
          <w:bCs/>
          <w:color w:val="0B1B33"/>
          <w:sz w:val="21"/>
          <w:szCs w:val="21"/>
        </w:rPr>
        <w:t xml:space="preserve">Content hierarchy:  </w:t>
      </w:r>
      <w:r>
        <w:rPr>
          <w:sz w:val="21"/>
          <w:szCs w:val="21"/>
        </w:rPr>
        <w:t xml:space="preserve">Quiet by design — smallest type on the page, muted color, no competing CTA buttons.</w:t>
      </w:r>
    </w:p>
    <w:p>
      <w:pPr>
        <w:spacing w:after="120" w:line="276"/>
      </w:pPr>
      <w:r>
        <w:rPr>
          <w:b/>
          <w:bCs/>
          <w:color w:val="0B1B33"/>
          <w:sz w:val="21"/>
          <w:szCs w:val="21"/>
        </w:rPr>
        <w:t xml:space="preserve">Visual treatment:  </w:t>
      </w:r>
      <w:r>
        <w:rPr>
          <w:sz w:val="21"/>
          <w:szCs w:val="21"/>
        </w:rPr>
        <w:t xml:space="preserve">Off-white or pale navy background, hairline top border separating it from the closing CTA band, icons for social/community channels kept minimal and monochrome.</w:t>
      </w:r>
    </w:p>
    <w:p>
      <w:pPr>
        <w:spacing w:after="120" w:line="276"/>
      </w:pPr>
      <w:r>
        <w:rPr>
          <w:b/>
          <w:bCs/>
          <w:color w:val="0B1B33"/>
          <w:sz w:val="21"/>
          <w:szCs w:val="21"/>
        </w:rPr>
        <w:t xml:space="preserve">Conversion goal:  </w:t>
      </w:r>
      <w:r>
        <w:rPr>
          <w:sz w:val="21"/>
          <w:szCs w:val="21"/>
        </w:rPr>
        <w:t xml:space="preserve">Functional close to the page; reinforces community scale (channel links) without diluting the primary conversion goal already captured above.</w:t>
      </w:r>
    </w:p>
    <w:p>
      <w:pPr>
        <w:pBdr>
          <w:bottom w:val="single" w:color="D8DEE6" w:sz="4" w:space="1"/>
        </w:pBdr>
        <w:spacing w:after="120" w:before="120"/>
      </w:pPr>
    </w:p>
    <w:p>
      <w:pPr>
        <w:pStyle w:val="Heading3"/>
      </w:pPr>
      <w:r>
        <w:t xml:space="preserve">Sections Considered and Deliberately Excluded</w:t>
      </w:r>
    </w:p>
    <w:p>
      <w:pPr>
        <w:pStyle w:val="ListParagraph"/>
        <w:numPr>
          <w:ilvl w:val="0"/>
          <w:numId w:val="2"/>
        </w:numPr>
        <w:spacing w:after="100" w:line="276"/>
      </w:pPr>
      <w:r>
        <w:t xml:space="preserve">A separate 'Admission Roadmaps' section — excluded because, per the Phase 1 correction, this business operates post-admission. If MBA Partner does add an admissions-consulting line later, this becomes a parallel page rather than a section bolted onto the placements-focused courses page, to avoid diluting either narrative.</w:t>
      </w:r>
    </w:p>
    <w:p>
      <w:pPr>
        <w:pStyle w:val="ListParagraph"/>
        <w:numPr>
          <w:ilvl w:val="0"/>
          <w:numId w:val="2"/>
        </w:numPr>
        <w:spacing w:after="100" w:line="276"/>
      </w:pPr>
      <w:r>
        <w:t xml:space="preserve">A 'University Partners' logo section — excluded as a separate section because MBA Partner is a mentor-led community, not a university-accredited program; surfacing B-school names through mentor credentials (Section 09) is more accurate and avoids implying a formal institutional partnership that doesn't exist.</w:t>
      </w:r>
    </w:p>
    <w:p>
      <w:pPr>
        <w:pStyle w:val="ListParagraph"/>
        <w:numPr>
          <w:ilvl w:val="0"/>
          <w:numId w:val="2"/>
        </w:numPr>
        <w:spacing w:after="100" w:line="276"/>
      </w:pPr>
      <w:r>
        <w:t xml:space="preserve">A live countdown/urgency timer — considered for the hero or final CTA, but excluded by default as a primary device; it skews toward low-trust marketing patterns inconsistent with the premium positioning. A quiet, factual cohort-start date is the recommended substitute if urgency is needed (see Phase 5).</w:t>
      </w:r>
    </w:p>
    <w:p>
      <w:pPr>
        <w:pStyle w:val="Heading1"/>
        <w:pageBreakBefore/>
      </w:pPr>
      <w:r>
        <w:t xml:space="preserve">Phase 4 — Visual Design System</w:t>
      </w:r>
    </w:p>
    <w:p>
      <w:pPr>
        <w:spacing w:after="160" w:line="288"/>
      </w:pPr>
      <w:r>
        <w:t xml:space="preserve">This system is specified precisely enough to hand directly to a frontend engineer or a Figma file with no interpretation gaps. Every value below is a final, implementable decision, not a placeholder range.</w:t>
      </w:r>
    </w:p>
    <w:p>
      <w:pPr>
        <w:pStyle w:val="Heading2"/>
      </w:pPr>
      <w:r>
        <w:t xml:space="preserve">Color System</w:t>
      </w:r>
    </w:p>
    <w:p>
      <w:pPr>
        <w:spacing w:after="160" w:line="288"/>
      </w:pPr>
      <w:r>
        <w:t xml:space="preserve">Palette logic: a deep institutional navy as the dominant 'serious' color, warm ivory as the dominant light background (never pure white, which reads cold/clinical), and a single muted brass/gold as the only accent — used sparingly so it retains impact. This is deliberately closer to a private bank or law firm's palette than an edtech palette.</w:t>
      </w:r>
    </w:p>
    <w:p>
      <w:pPr>
        <w:pStyle w:val="Heading3"/>
      </w:pPr>
      <w:r>
        <w:t xml:space="preserve">Primary &amp; Neutral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600"/>
        <w:gridCol w:w="4460"/>
      </w:tblGrid>
      <w:tr>
        <w:trPr>
          <w:tblHeader/>
        </w:trPr>
        <w:tc>
          <w:tcPr>
            <w:tcW w:type="dxa" w:w="9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
            </w:r>
          </w:p>
        </w:tc>
        <w:tc>
          <w:tcPr>
            <w:tcW w:type="dxa" w:w="24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Token</w:t>
            </w:r>
          </w:p>
        </w:tc>
        <w:tc>
          <w:tcPr>
            <w:tcW w:type="dxa" w:w="16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Hex</w:t>
            </w:r>
          </w:p>
        </w:tc>
        <w:tc>
          <w:tcPr>
            <w:tcW w:type="dxa" w:w="446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Usage</w:t>
            </w:r>
          </w:p>
        </w:tc>
      </w:tr>
      <w:tr>
        <w:trPr>
          <w:cantSplit/>
        </w:trPr>
        <w:tc>
          <w:tcPr>
            <w:tcW w:type="dxa" w:w="900"/>
            <w:shd w:fill="0B1B33" w:val="clear"/>
            <w:tcMar>
              <w:top w:type="dxa" w:w="260"/>
              <w:left w:type="dxa" w:w="80"/>
              <w:bottom w:type="dxa" w:w="260"/>
              <w:right w:type="dxa" w:w="80"/>
            </w:tcMar>
          </w:tcPr>
          <w:p/>
        </w:tc>
        <w:tc>
          <w:tcPr>
            <w:tcW w:type="dxa" w:w="2400"/>
            <w:shd w:fill="FFFFFF" w:val="clear"/>
            <w:tcMar>
              <w:top w:type="dxa" w:w="90"/>
              <w:left w:type="dxa" w:w="120"/>
              <w:bottom w:type="dxa" w:w="90"/>
              <w:right w:type="dxa" w:w="120"/>
            </w:tcMar>
          </w:tcPr>
          <w:p>
            <w:pPr>
              <w:spacing w:after="40"/>
            </w:pPr>
            <w:r>
              <w:rPr>
                <w:b/>
                <w:bCs/>
                <w:sz w:val="20"/>
                <w:szCs w:val="20"/>
              </w:rPr>
              <w:t xml:space="preserve">Navy / Ink — Primary</w:t>
            </w:r>
          </w:p>
        </w:tc>
        <w:tc>
          <w:tcPr>
            <w:tcW w:type="dxa" w:w="1600"/>
            <w:shd w:fill="FFFFFF" w:val="clear"/>
            <w:tcMar>
              <w:top w:type="dxa" w:w="90"/>
              <w:left w:type="dxa" w:w="120"/>
              <w:bottom w:type="dxa" w:w="90"/>
              <w:right w:type="dxa" w:w="120"/>
            </w:tcMar>
          </w:tcPr>
          <w:p>
            <w:pPr>
              <w:spacing w:after="40"/>
            </w:pPr>
            <w:r>
              <w:rPr>
                <w:rFonts w:ascii="Calibri" w:cs="Calibri" w:eastAsia="Calibri" w:hAnsi="Calibri"/>
                <w:sz w:val="20"/>
                <w:szCs w:val="20"/>
              </w:rPr>
              <w:t xml:space="preserve">#0B1B33</w:t>
            </w:r>
          </w:p>
        </w:tc>
        <w:tc>
          <w:tcPr>
            <w:tcW w:type="dxa" w:w="4460"/>
            <w:shd w:fill="FFFFFF" w:val="clear"/>
            <w:tcMar>
              <w:top w:type="dxa" w:w="90"/>
              <w:left w:type="dxa" w:w="120"/>
              <w:bottom w:type="dxa" w:w="90"/>
              <w:right w:type="dxa" w:w="120"/>
            </w:tcMar>
          </w:tcPr>
          <w:p>
            <w:pPr>
              <w:spacing w:after="40"/>
            </w:pPr>
            <w:r>
              <w:rPr>
                <w:sz w:val="20"/>
                <w:szCs w:val="20"/>
              </w:rPr>
              <w:t xml:space="preserve">Primary brand color. Headlines, nav bar text, dark section backgrounds (stat band, final CTA), primary button fill on light backgrounds is NOT this — see Gold below for button fill logic.</w:t>
            </w:r>
          </w:p>
        </w:tc>
      </w:tr>
      <w:tr>
        <w:trPr>
          <w:cantSplit/>
        </w:trPr>
        <w:tc>
          <w:tcPr>
            <w:tcW w:type="dxa" w:w="900"/>
            <w:shd w:fill="13202E" w:val="clear"/>
            <w:tcMar>
              <w:top w:type="dxa" w:w="260"/>
              <w:left w:type="dxa" w:w="80"/>
              <w:bottom w:type="dxa" w:w="260"/>
              <w:right w:type="dxa" w:w="80"/>
            </w:tcMar>
          </w:tcPr>
          <w:p/>
        </w:tc>
        <w:tc>
          <w:tcPr>
            <w:tcW w:type="dxa" w:w="2400"/>
            <w:shd w:fill="FFFFFF" w:val="clear"/>
            <w:tcMar>
              <w:top w:type="dxa" w:w="90"/>
              <w:left w:type="dxa" w:w="120"/>
              <w:bottom w:type="dxa" w:w="90"/>
              <w:right w:type="dxa" w:w="120"/>
            </w:tcMar>
          </w:tcPr>
          <w:p>
            <w:pPr>
              <w:spacing w:after="40"/>
            </w:pPr>
            <w:r>
              <w:rPr>
                <w:b/>
                <w:bCs/>
                <w:sz w:val="20"/>
                <w:szCs w:val="20"/>
              </w:rPr>
              <w:t xml:space="preserve">Navy / Body Text</w:t>
            </w:r>
          </w:p>
        </w:tc>
        <w:tc>
          <w:tcPr>
            <w:tcW w:type="dxa" w:w="1600"/>
            <w:shd w:fill="FFFFFF" w:val="clear"/>
            <w:tcMar>
              <w:top w:type="dxa" w:w="90"/>
              <w:left w:type="dxa" w:w="120"/>
              <w:bottom w:type="dxa" w:w="90"/>
              <w:right w:type="dxa" w:w="120"/>
            </w:tcMar>
          </w:tcPr>
          <w:p>
            <w:pPr>
              <w:spacing w:after="40"/>
            </w:pPr>
            <w:r>
              <w:rPr>
                <w:rFonts w:ascii="Calibri" w:cs="Calibri" w:eastAsia="Calibri" w:hAnsi="Calibri"/>
                <w:sz w:val="20"/>
                <w:szCs w:val="20"/>
              </w:rPr>
              <w:t xml:space="preserve">#13202E</w:t>
            </w:r>
          </w:p>
        </w:tc>
        <w:tc>
          <w:tcPr>
            <w:tcW w:type="dxa" w:w="4460"/>
            <w:shd w:fill="FFFFFF" w:val="clear"/>
            <w:tcMar>
              <w:top w:type="dxa" w:w="90"/>
              <w:left w:type="dxa" w:w="120"/>
              <w:bottom w:type="dxa" w:w="90"/>
              <w:right w:type="dxa" w:w="120"/>
            </w:tcMar>
          </w:tcPr>
          <w:p>
            <w:pPr>
              <w:spacing w:after="40"/>
            </w:pPr>
            <w:r>
              <w:rPr>
                <w:sz w:val="20"/>
                <w:szCs w:val="20"/>
              </w:rPr>
              <w:t xml:space="preserve">Default body copy color on light backgrounds. Slightly softer than pure Ink for long-form readability.</w:t>
            </w:r>
          </w:p>
        </w:tc>
      </w:tr>
      <w:tr>
        <w:trPr>
          <w:cantSplit/>
        </w:trPr>
        <w:tc>
          <w:tcPr>
            <w:tcW w:type="dxa" w:w="900"/>
            <w:shd w:fill="FAF8F3" w:val="clear"/>
            <w:tcMar>
              <w:top w:type="dxa" w:w="260"/>
              <w:left w:type="dxa" w:w="80"/>
              <w:bottom w:type="dxa" w:w="260"/>
              <w:right w:type="dxa" w:w="80"/>
            </w:tcMar>
          </w:tcPr>
          <w:p/>
        </w:tc>
        <w:tc>
          <w:tcPr>
            <w:tcW w:type="dxa" w:w="2400"/>
            <w:shd w:fill="FFFFFF" w:val="clear"/>
            <w:tcMar>
              <w:top w:type="dxa" w:w="90"/>
              <w:left w:type="dxa" w:w="120"/>
              <w:bottom w:type="dxa" w:w="90"/>
              <w:right w:type="dxa" w:w="120"/>
            </w:tcMar>
          </w:tcPr>
          <w:p>
            <w:pPr>
              <w:spacing w:after="40"/>
            </w:pPr>
            <w:r>
              <w:rPr>
                <w:b/>
                <w:bCs/>
                <w:sz w:val="20"/>
                <w:szCs w:val="20"/>
              </w:rPr>
              <w:t xml:space="preserve">Ivory — Background</w:t>
            </w:r>
          </w:p>
        </w:tc>
        <w:tc>
          <w:tcPr>
            <w:tcW w:type="dxa" w:w="1600"/>
            <w:shd w:fill="FFFFFF" w:val="clear"/>
            <w:tcMar>
              <w:top w:type="dxa" w:w="90"/>
              <w:left w:type="dxa" w:w="120"/>
              <w:bottom w:type="dxa" w:w="90"/>
              <w:right w:type="dxa" w:w="120"/>
            </w:tcMar>
          </w:tcPr>
          <w:p>
            <w:pPr>
              <w:spacing w:after="40"/>
            </w:pPr>
            <w:r>
              <w:rPr>
                <w:rFonts w:ascii="Calibri" w:cs="Calibri" w:eastAsia="Calibri" w:hAnsi="Calibri"/>
                <w:sz w:val="20"/>
                <w:szCs w:val="20"/>
              </w:rPr>
              <w:t xml:space="preserve">#FAF8F3</w:t>
            </w:r>
          </w:p>
        </w:tc>
        <w:tc>
          <w:tcPr>
            <w:tcW w:type="dxa" w:w="4460"/>
            <w:shd w:fill="FFFFFF" w:val="clear"/>
            <w:tcMar>
              <w:top w:type="dxa" w:w="90"/>
              <w:left w:type="dxa" w:w="120"/>
              <w:bottom w:type="dxa" w:w="90"/>
              <w:right w:type="dxa" w:w="120"/>
            </w:tcMar>
          </w:tcPr>
          <w:p>
            <w:pPr>
              <w:spacing w:after="40"/>
            </w:pPr>
            <w:r>
              <w:rPr>
                <w:sz w:val="20"/>
                <w:szCs w:val="20"/>
              </w:rPr>
              <w:t xml:space="preserve">Default page background. Warmer and more premium than pure white; used for all light sections.</w:t>
            </w:r>
          </w:p>
        </w:tc>
      </w:tr>
      <w:tr>
        <w:trPr>
          <w:cantSplit/>
        </w:trPr>
        <w:tc>
          <w:tcPr>
            <w:tcW w:type="dxa" w:w="900"/>
            <w:shd w:fill="FFFFFF" w:val="clear"/>
            <w:tcMar>
              <w:top w:type="dxa" w:w="260"/>
              <w:left w:type="dxa" w:w="80"/>
              <w:bottom w:type="dxa" w:w="260"/>
              <w:right w:type="dxa" w:w="80"/>
            </w:tcMar>
          </w:tcPr>
          <w:p/>
        </w:tc>
        <w:tc>
          <w:tcPr>
            <w:tcW w:type="dxa" w:w="2400"/>
            <w:shd w:fill="FFFFFF" w:val="clear"/>
            <w:tcMar>
              <w:top w:type="dxa" w:w="90"/>
              <w:left w:type="dxa" w:w="120"/>
              <w:bottom w:type="dxa" w:w="90"/>
              <w:right w:type="dxa" w:w="120"/>
            </w:tcMar>
          </w:tcPr>
          <w:p>
            <w:pPr>
              <w:spacing w:after="40"/>
            </w:pPr>
            <w:r>
              <w:rPr>
                <w:b/>
                <w:bCs/>
                <w:sz w:val="20"/>
                <w:szCs w:val="20"/>
              </w:rPr>
              <w:t xml:space="preserve">White — Card Surface</w:t>
            </w:r>
          </w:p>
        </w:tc>
        <w:tc>
          <w:tcPr>
            <w:tcW w:type="dxa" w:w="1600"/>
            <w:shd w:fill="FFFFFF" w:val="clear"/>
            <w:tcMar>
              <w:top w:type="dxa" w:w="90"/>
              <w:left w:type="dxa" w:w="120"/>
              <w:bottom w:type="dxa" w:w="90"/>
              <w:right w:type="dxa" w:w="120"/>
            </w:tcMar>
          </w:tcPr>
          <w:p>
            <w:pPr>
              <w:spacing w:after="40"/>
            </w:pPr>
            <w:r>
              <w:rPr>
                <w:rFonts w:ascii="Calibri" w:cs="Calibri" w:eastAsia="Calibri" w:hAnsi="Calibri"/>
                <w:sz w:val="20"/>
                <w:szCs w:val="20"/>
              </w:rPr>
              <w:t xml:space="preserve">#FFFFFF</w:t>
            </w:r>
          </w:p>
        </w:tc>
        <w:tc>
          <w:tcPr>
            <w:tcW w:type="dxa" w:w="4460"/>
            <w:shd w:fill="FFFFFF" w:val="clear"/>
            <w:tcMar>
              <w:top w:type="dxa" w:w="90"/>
              <w:left w:type="dxa" w:w="120"/>
              <w:bottom w:type="dxa" w:w="90"/>
              <w:right w:type="dxa" w:w="120"/>
            </w:tcMar>
          </w:tcPr>
          <w:p>
            <w:pPr>
              <w:spacing w:after="40"/>
            </w:pPr>
            <w:r>
              <w:rPr>
                <w:sz w:val="20"/>
                <w:szCs w:val="20"/>
              </w:rPr>
              <w:t xml:space="preserve">Card and panel surfaces sitting on the Ivory background, to create a one-step lift without using shadow alone.</w:t>
            </w:r>
          </w:p>
        </w:tc>
      </w:tr>
      <w:tr>
        <w:trPr>
          <w:cantSplit/>
        </w:trPr>
        <w:tc>
          <w:tcPr>
            <w:tcW w:type="dxa" w:w="900"/>
            <w:shd w:fill="F4F1E9" w:val="clear"/>
            <w:tcMar>
              <w:top w:type="dxa" w:w="260"/>
              <w:left w:type="dxa" w:w="80"/>
              <w:bottom w:type="dxa" w:w="260"/>
              <w:right w:type="dxa" w:w="80"/>
            </w:tcMar>
          </w:tcPr>
          <w:p/>
        </w:tc>
        <w:tc>
          <w:tcPr>
            <w:tcW w:type="dxa" w:w="2400"/>
            <w:shd w:fill="FFFFFF" w:val="clear"/>
            <w:tcMar>
              <w:top w:type="dxa" w:w="90"/>
              <w:left w:type="dxa" w:w="120"/>
              <w:bottom w:type="dxa" w:w="90"/>
              <w:right w:type="dxa" w:w="120"/>
            </w:tcMar>
          </w:tcPr>
          <w:p>
            <w:pPr>
              <w:spacing w:after="40"/>
            </w:pPr>
            <w:r>
              <w:rPr>
                <w:b/>
                <w:bCs/>
                <w:sz w:val="20"/>
                <w:szCs w:val="20"/>
              </w:rPr>
              <w:t xml:space="preserve">Pale Panel</w:t>
            </w:r>
          </w:p>
        </w:tc>
        <w:tc>
          <w:tcPr>
            <w:tcW w:type="dxa" w:w="1600"/>
            <w:shd w:fill="FFFFFF" w:val="clear"/>
            <w:tcMar>
              <w:top w:type="dxa" w:w="90"/>
              <w:left w:type="dxa" w:w="120"/>
              <w:bottom w:type="dxa" w:w="90"/>
              <w:right w:type="dxa" w:w="120"/>
            </w:tcMar>
          </w:tcPr>
          <w:p>
            <w:pPr>
              <w:spacing w:after="40"/>
            </w:pPr>
            <w:r>
              <w:rPr>
                <w:rFonts w:ascii="Calibri" w:cs="Calibri" w:eastAsia="Calibri" w:hAnsi="Calibri"/>
                <w:sz w:val="20"/>
                <w:szCs w:val="20"/>
              </w:rPr>
              <w:t xml:space="preserve">#F4F1E9</w:t>
            </w:r>
          </w:p>
        </w:tc>
        <w:tc>
          <w:tcPr>
            <w:tcW w:type="dxa" w:w="4460"/>
            <w:shd w:fill="FFFFFF" w:val="clear"/>
            <w:tcMar>
              <w:top w:type="dxa" w:w="90"/>
              <w:left w:type="dxa" w:w="120"/>
              <w:bottom w:type="dxa" w:w="90"/>
              <w:right w:type="dxa" w:w="120"/>
            </w:tcMar>
          </w:tcPr>
          <w:p>
            <w:pPr>
              <w:spacing w:after="40"/>
            </w:pPr>
            <w:r>
              <w:rPr>
                <w:sz w:val="20"/>
                <w:szCs w:val="20"/>
              </w:rPr>
              <w:t xml:space="preserve">Secondary section background for alternating rhythm (e.g. How It Works, Path Finder) — slightly deeper than Ivory.</w:t>
            </w:r>
          </w:p>
        </w:tc>
      </w:tr>
      <w:tr>
        <w:trPr>
          <w:cantSplit/>
        </w:trPr>
        <w:tc>
          <w:tcPr>
            <w:tcW w:type="dxa" w:w="900"/>
            <w:shd w:fill="5B6B7F" w:val="clear"/>
            <w:tcMar>
              <w:top w:type="dxa" w:w="260"/>
              <w:left w:type="dxa" w:w="80"/>
              <w:bottom w:type="dxa" w:w="260"/>
              <w:right w:type="dxa" w:w="80"/>
            </w:tcMar>
          </w:tcPr>
          <w:p/>
        </w:tc>
        <w:tc>
          <w:tcPr>
            <w:tcW w:type="dxa" w:w="2400"/>
            <w:shd w:fill="FFFFFF" w:val="clear"/>
            <w:tcMar>
              <w:top w:type="dxa" w:w="90"/>
              <w:left w:type="dxa" w:w="120"/>
              <w:bottom w:type="dxa" w:w="90"/>
              <w:right w:type="dxa" w:w="120"/>
            </w:tcMar>
          </w:tcPr>
          <w:p>
            <w:pPr>
              <w:spacing w:after="40"/>
            </w:pPr>
            <w:r>
              <w:rPr>
                <w:b/>
                <w:bCs/>
                <w:sz w:val="20"/>
                <w:szCs w:val="20"/>
              </w:rPr>
              <w:t xml:space="preserve">Slate — Secondary Text</w:t>
            </w:r>
          </w:p>
        </w:tc>
        <w:tc>
          <w:tcPr>
            <w:tcW w:type="dxa" w:w="1600"/>
            <w:shd w:fill="FFFFFF" w:val="clear"/>
            <w:tcMar>
              <w:top w:type="dxa" w:w="90"/>
              <w:left w:type="dxa" w:w="120"/>
              <w:bottom w:type="dxa" w:w="90"/>
              <w:right w:type="dxa" w:w="120"/>
            </w:tcMar>
          </w:tcPr>
          <w:p>
            <w:pPr>
              <w:spacing w:after="40"/>
            </w:pPr>
            <w:r>
              <w:rPr>
                <w:rFonts w:ascii="Calibri" w:cs="Calibri" w:eastAsia="Calibri" w:hAnsi="Calibri"/>
                <w:sz w:val="20"/>
                <w:szCs w:val="20"/>
              </w:rPr>
              <w:t xml:space="preserve">#5B6B7F</w:t>
            </w:r>
          </w:p>
        </w:tc>
        <w:tc>
          <w:tcPr>
            <w:tcW w:type="dxa" w:w="4460"/>
            <w:shd w:fill="FFFFFF" w:val="clear"/>
            <w:tcMar>
              <w:top w:type="dxa" w:w="90"/>
              <w:left w:type="dxa" w:w="120"/>
              <w:bottom w:type="dxa" w:w="90"/>
              <w:right w:type="dxa" w:w="120"/>
            </w:tcMar>
          </w:tcPr>
          <w:p>
            <w:pPr>
              <w:spacing w:after="40"/>
            </w:pPr>
            <w:r>
              <w:rPr>
                <w:sz w:val="20"/>
                <w:szCs w:val="20"/>
              </w:rPr>
              <w:t xml:space="preserve">Subheads, meta text, captions, muted descriptions. Never used for primary headlines or CTAs.</w:t>
            </w:r>
          </w:p>
        </w:tc>
      </w:tr>
      <w:tr>
        <w:trPr>
          <w:cantSplit/>
        </w:trPr>
        <w:tc>
          <w:tcPr>
            <w:tcW w:type="dxa" w:w="900"/>
            <w:shd w:fill="D8DEE6" w:val="clear"/>
            <w:tcMar>
              <w:top w:type="dxa" w:w="260"/>
              <w:left w:type="dxa" w:w="80"/>
              <w:bottom w:type="dxa" w:w="260"/>
              <w:right w:type="dxa" w:w="80"/>
            </w:tcMar>
          </w:tcPr>
          <w:p/>
        </w:tc>
        <w:tc>
          <w:tcPr>
            <w:tcW w:type="dxa" w:w="2400"/>
            <w:shd w:fill="FFFFFF" w:val="clear"/>
            <w:tcMar>
              <w:top w:type="dxa" w:w="90"/>
              <w:left w:type="dxa" w:w="120"/>
              <w:bottom w:type="dxa" w:w="90"/>
              <w:right w:type="dxa" w:w="120"/>
            </w:tcMar>
          </w:tcPr>
          <w:p>
            <w:pPr>
              <w:spacing w:after="40"/>
            </w:pPr>
            <w:r>
              <w:rPr>
                <w:b/>
                <w:bCs/>
                <w:sz w:val="20"/>
                <w:szCs w:val="20"/>
              </w:rPr>
              <w:t xml:space="preserve">Hairline / Border</w:t>
            </w:r>
          </w:p>
        </w:tc>
        <w:tc>
          <w:tcPr>
            <w:tcW w:type="dxa" w:w="1600"/>
            <w:shd w:fill="FFFFFF" w:val="clear"/>
            <w:tcMar>
              <w:top w:type="dxa" w:w="90"/>
              <w:left w:type="dxa" w:w="120"/>
              <w:bottom w:type="dxa" w:w="90"/>
              <w:right w:type="dxa" w:w="120"/>
            </w:tcMar>
          </w:tcPr>
          <w:p>
            <w:pPr>
              <w:spacing w:after="40"/>
            </w:pPr>
            <w:r>
              <w:rPr>
                <w:rFonts w:ascii="Calibri" w:cs="Calibri" w:eastAsia="Calibri" w:hAnsi="Calibri"/>
                <w:sz w:val="20"/>
                <w:szCs w:val="20"/>
              </w:rPr>
              <w:t xml:space="preserve">#D8DEE6</w:t>
            </w:r>
          </w:p>
        </w:tc>
        <w:tc>
          <w:tcPr>
            <w:tcW w:type="dxa" w:w="4460"/>
            <w:shd w:fill="FFFFFF" w:val="clear"/>
            <w:tcMar>
              <w:top w:type="dxa" w:w="90"/>
              <w:left w:type="dxa" w:w="120"/>
              <w:bottom w:type="dxa" w:w="90"/>
              <w:right w:type="dxa" w:w="120"/>
            </w:tcMar>
          </w:tcPr>
          <w:p>
            <w:pPr>
              <w:spacing w:after="40"/>
            </w:pPr>
            <w:r>
              <w:rPr>
                <w:sz w:val="20"/>
                <w:szCs w:val="20"/>
              </w:rPr>
              <w:t xml:space="preserve">All card borders, table grid lines, dividers. Always 1px, never a heavier rule.</w:t>
            </w:r>
          </w:p>
        </w:tc>
      </w:tr>
    </w:tbl>
    <w:p>
      <w:pPr>
        <w:pStyle w:val="Heading3"/>
      </w:pPr>
      <w:r>
        <w:t xml:space="preserve">Accent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600"/>
        <w:gridCol w:w="4460"/>
      </w:tblGrid>
      <w:tr>
        <w:trPr>
          <w:tblHeader/>
        </w:trPr>
        <w:tc>
          <w:tcPr>
            <w:tcW w:type="dxa" w:w="9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
            </w:r>
          </w:p>
        </w:tc>
        <w:tc>
          <w:tcPr>
            <w:tcW w:type="dxa" w:w="24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Token</w:t>
            </w:r>
          </w:p>
        </w:tc>
        <w:tc>
          <w:tcPr>
            <w:tcW w:type="dxa" w:w="16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Hex</w:t>
            </w:r>
          </w:p>
        </w:tc>
        <w:tc>
          <w:tcPr>
            <w:tcW w:type="dxa" w:w="446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Usage</w:t>
            </w:r>
          </w:p>
        </w:tc>
      </w:tr>
      <w:tr>
        <w:trPr>
          <w:cantSplit/>
        </w:trPr>
        <w:tc>
          <w:tcPr>
            <w:tcW w:type="dxa" w:w="900"/>
            <w:shd w:fill="C8962C" w:val="clear"/>
            <w:tcMar>
              <w:top w:type="dxa" w:w="260"/>
              <w:left w:type="dxa" w:w="80"/>
              <w:bottom w:type="dxa" w:w="260"/>
              <w:right w:type="dxa" w:w="80"/>
            </w:tcMar>
          </w:tcPr>
          <w:p/>
        </w:tc>
        <w:tc>
          <w:tcPr>
            <w:tcW w:type="dxa" w:w="2400"/>
            <w:shd w:fill="FFFFFF" w:val="clear"/>
            <w:tcMar>
              <w:top w:type="dxa" w:w="90"/>
              <w:left w:type="dxa" w:w="120"/>
              <w:bottom w:type="dxa" w:w="90"/>
              <w:right w:type="dxa" w:w="120"/>
            </w:tcMar>
          </w:tcPr>
          <w:p>
            <w:pPr>
              <w:spacing w:after="40"/>
            </w:pPr>
            <w:r>
              <w:rPr>
                <w:b/>
                <w:bCs/>
                <w:sz w:val="20"/>
                <w:szCs w:val="20"/>
              </w:rPr>
              <w:t xml:space="preserve">Brass / Gold — Primary Accent</w:t>
            </w:r>
          </w:p>
        </w:tc>
        <w:tc>
          <w:tcPr>
            <w:tcW w:type="dxa" w:w="1600"/>
            <w:shd w:fill="FFFFFF" w:val="clear"/>
            <w:tcMar>
              <w:top w:type="dxa" w:w="90"/>
              <w:left w:type="dxa" w:w="120"/>
              <w:bottom w:type="dxa" w:w="90"/>
              <w:right w:type="dxa" w:w="120"/>
            </w:tcMar>
          </w:tcPr>
          <w:p>
            <w:pPr>
              <w:spacing w:after="40"/>
            </w:pPr>
            <w:r>
              <w:rPr>
                <w:rFonts w:ascii="Calibri" w:cs="Calibri" w:eastAsia="Calibri" w:hAnsi="Calibri"/>
                <w:sz w:val="20"/>
                <w:szCs w:val="20"/>
              </w:rPr>
              <w:t xml:space="preserve">#C8962C</w:t>
            </w:r>
          </w:p>
        </w:tc>
        <w:tc>
          <w:tcPr>
            <w:tcW w:type="dxa" w:w="4460"/>
            <w:shd w:fill="FFFFFF" w:val="clear"/>
            <w:tcMar>
              <w:top w:type="dxa" w:w="90"/>
              <w:left w:type="dxa" w:w="120"/>
              <w:bottom w:type="dxa" w:w="90"/>
              <w:right w:type="dxa" w:w="120"/>
            </w:tcMar>
          </w:tcPr>
          <w:p>
            <w:pPr>
              <w:spacing w:after="40"/>
            </w:pPr>
            <w:r>
              <w:rPr>
                <w:sz w:val="20"/>
                <w:szCs w:val="20"/>
              </w:rPr>
              <w:t xml:space="preserve">Primary CTA fill, numeral highlights in the stat band, active states, the single 'most chosen' tag border. This is the ONLY saturated color on the page and should appear in no more than ~5% of total page area at any viewport.</w:t>
            </w:r>
          </w:p>
        </w:tc>
      </w:tr>
      <w:tr>
        <w:trPr>
          <w:cantSplit/>
        </w:trPr>
        <w:tc>
          <w:tcPr>
            <w:tcW w:type="dxa" w:w="900"/>
            <w:shd w:fill="A87A1E" w:val="clear"/>
            <w:tcMar>
              <w:top w:type="dxa" w:w="260"/>
              <w:left w:type="dxa" w:w="80"/>
              <w:bottom w:type="dxa" w:w="260"/>
              <w:right w:type="dxa" w:w="80"/>
            </w:tcMar>
          </w:tcPr>
          <w:p/>
        </w:tc>
        <w:tc>
          <w:tcPr>
            <w:tcW w:type="dxa" w:w="2400"/>
            <w:shd w:fill="FFFFFF" w:val="clear"/>
            <w:tcMar>
              <w:top w:type="dxa" w:w="90"/>
              <w:left w:type="dxa" w:w="120"/>
              <w:bottom w:type="dxa" w:w="90"/>
              <w:right w:type="dxa" w:w="120"/>
            </w:tcMar>
          </w:tcPr>
          <w:p>
            <w:pPr>
              <w:spacing w:after="40"/>
            </w:pPr>
            <w:r>
              <w:rPr>
                <w:b/>
                <w:bCs/>
                <w:sz w:val="20"/>
                <w:szCs w:val="20"/>
              </w:rPr>
              <w:t xml:space="preserve">Brass — Hover / Pressed</w:t>
            </w:r>
          </w:p>
        </w:tc>
        <w:tc>
          <w:tcPr>
            <w:tcW w:type="dxa" w:w="1600"/>
            <w:shd w:fill="FFFFFF" w:val="clear"/>
            <w:tcMar>
              <w:top w:type="dxa" w:w="90"/>
              <w:left w:type="dxa" w:w="120"/>
              <w:bottom w:type="dxa" w:w="90"/>
              <w:right w:type="dxa" w:w="120"/>
            </w:tcMar>
          </w:tcPr>
          <w:p>
            <w:pPr>
              <w:spacing w:after="40"/>
            </w:pPr>
            <w:r>
              <w:rPr>
                <w:rFonts w:ascii="Calibri" w:cs="Calibri" w:eastAsia="Calibri" w:hAnsi="Calibri"/>
                <w:sz w:val="20"/>
                <w:szCs w:val="20"/>
              </w:rPr>
              <w:t xml:space="preserve">#A87A1E</w:t>
            </w:r>
          </w:p>
        </w:tc>
        <w:tc>
          <w:tcPr>
            <w:tcW w:type="dxa" w:w="4460"/>
            <w:shd w:fill="FFFFFF" w:val="clear"/>
            <w:tcMar>
              <w:top w:type="dxa" w:w="90"/>
              <w:left w:type="dxa" w:w="120"/>
              <w:bottom w:type="dxa" w:w="90"/>
              <w:right w:type="dxa" w:w="120"/>
            </w:tcMar>
          </w:tcPr>
          <w:p>
            <w:pPr>
              <w:spacing w:after="40"/>
            </w:pPr>
            <w:r>
              <w:rPr>
                <w:sz w:val="20"/>
                <w:szCs w:val="20"/>
              </w:rPr>
              <w:t xml:space="preserve">Hover and active state for gold buttons and links. 12% darker than the base gold.</w:t>
            </w:r>
          </w:p>
        </w:tc>
      </w:tr>
      <w:tr>
        <w:trPr>
          <w:cantSplit/>
        </w:trPr>
        <w:tc>
          <w:tcPr>
            <w:tcW w:type="dxa" w:w="900"/>
            <w:shd w:fill="F4E9D8" w:val="clear"/>
            <w:tcMar>
              <w:top w:type="dxa" w:w="260"/>
              <w:left w:type="dxa" w:w="80"/>
              <w:bottom w:type="dxa" w:w="260"/>
              <w:right w:type="dxa" w:w="80"/>
            </w:tcMar>
          </w:tcPr>
          <w:p/>
        </w:tc>
        <w:tc>
          <w:tcPr>
            <w:tcW w:type="dxa" w:w="2400"/>
            <w:shd w:fill="FFFFFF" w:val="clear"/>
            <w:tcMar>
              <w:top w:type="dxa" w:w="90"/>
              <w:left w:type="dxa" w:w="120"/>
              <w:bottom w:type="dxa" w:w="90"/>
              <w:right w:type="dxa" w:w="120"/>
            </w:tcMar>
          </w:tcPr>
          <w:p>
            <w:pPr>
              <w:spacing w:after="40"/>
            </w:pPr>
            <w:r>
              <w:rPr>
                <w:b/>
                <w:bCs/>
                <w:sz w:val="20"/>
                <w:szCs w:val="20"/>
              </w:rPr>
              <w:t xml:space="preserve">Gold — Tint Background</w:t>
            </w:r>
          </w:p>
        </w:tc>
        <w:tc>
          <w:tcPr>
            <w:tcW w:type="dxa" w:w="1600"/>
            <w:shd w:fill="FFFFFF" w:val="clear"/>
            <w:tcMar>
              <w:top w:type="dxa" w:w="90"/>
              <w:left w:type="dxa" w:w="120"/>
              <w:bottom w:type="dxa" w:w="90"/>
              <w:right w:type="dxa" w:w="120"/>
            </w:tcMar>
          </w:tcPr>
          <w:p>
            <w:pPr>
              <w:spacing w:after="40"/>
            </w:pPr>
            <w:r>
              <w:rPr>
                <w:rFonts w:ascii="Calibri" w:cs="Calibri" w:eastAsia="Calibri" w:hAnsi="Calibri"/>
                <w:sz w:val="20"/>
                <w:szCs w:val="20"/>
              </w:rPr>
              <w:t xml:space="preserve">#F4E9D8</w:t>
            </w:r>
          </w:p>
        </w:tc>
        <w:tc>
          <w:tcPr>
            <w:tcW w:type="dxa" w:w="4460"/>
            <w:shd w:fill="FFFFFF" w:val="clear"/>
            <w:tcMar>
              <w:top w:type="dxa" w:w="90"/>
              <w:left w:type="dxa" w:w="120"/>
              <w:bottom w:type="dxa" w:w="90"/>
              <w:right w:type="dxa" w:w="120"/>
            </w:tcMar>
          </w:tcPr>
          <w:p>
            <w:pPr>
              <w:spacing w:after="40"/>
            </w:pPr>
            <w:r>
              <w:rPr>
                <w:sz w:val="20"/>
                <w:szCs w:val="20"/>
              </w:rPr>
              <w:t xml:space="preserve">Very light gold wash, used only behind small tags (e.g. domain tags, 'Most Chosen' label background) — never as a section background.</w:t>
            </w:r>
          </w:p>
        </w:tc>
      </w:tr>
      <w:tr>
        <w:trPr>
          <w:cantSplit/>
        </w:trPr>
        <w:tc>
          <w:tcPr>
            <w:tcW w:type="dxa" w:w="900"/>
            <w:shd w:fill="1E5C4A" w:val="clear"/>
            <w:tcMar>
              <w:top w:type="dxa" w:w="260"/>
              <w:left w:type="dxa" w:w="80"/>
              <w:bottom w:type="dxa" w:w="260"/>
              <w:right w:type="dxa" w:w="80"/>
            </w:tcMar>
          </w:tcPr>
          <w:p/>
        </w:tc>
        <w:tc>
          <w:tcPr>
            <w:tcW w:type="dxa" w:w="2400"/>
            <w:shd w:fill="FFFFFF" w:val="clear"/>
            <w:tcMar>
              <w:top w:type="dxa" w:w="90"/>
              <w:left w:type="dxa" w:w="120"/>
              <w:bottom w:type="dxa" w:w="90"/>
              <w:right w:type="dxa" w:w="120"/>
            </w:tcMar>
          </w:tcPr>
          <w:p>
            <w:pPr>
              <w:spacing w:after="40"/>
            </w:pPr>
            <w:r>
              <w:rPr>
                <w:b/>
                <w:bCs/>
                <w:sz w:val="20"/>
                <w:szCs w:val="20"/>
              </w:rPr>
              <w:t xml:space="preserve">Forest — Success / Verified</w:t>
            </w:r>
          </w:p>
        </w:tc>
        <w:tc>
          <w:tcPr>
            <w:tcW w:type="dxa" w:w="1600"/>
            <w:shd w:fill="FFFFFF" w:val="clear"/>
            <w:tcMar>
              <w:top w:type="dxa" w:w="90"/>
              <w:left w:type="dxa" w:w="120"/>
              <w:bottom w:type="dxa" w:w="90"/>
              <w:right w:type="dxa" w:w="120"/>
            </w:tcMar>
          </w:tcPr>
          <w:p>
            <w:pPr>
              <w:spacing w:after="40"/>
            </w:pPr>
            <w:r>
              <w:rPr>
                <w:rFonts w:ascii="Calibri" w:cs="Calibri" w:eastAsia="Calibri" w:hAnsi="Calibri"/>
                <w:sz w:val="20"/>
                <w:szCs w:val="20"/>
              </w:rPr>
              <w:t xml:space="preserve">#1E5C4A</w:t>
            </w:r>
          </w:p>
        </w:tc>
        <w:tc>
          <w:tcPr>
            <w:tcW w:type="dxa" w:w="4460"/>
            <w:shd w:fill="FFFFFF" w:val="clear"/>
            <w:tcMar>
              <w:top w:type="dxa" w:w="90"/>
              <w:left w:type="dxa" w:w="120"/>
              <w:bottom w:type="dxa" w:w="90"/>
              <w:right w:type="dxa" w:w="120"/>
            </w:tcMar>
          </w:tcPr>
          <w:p>
            <w:pPr>
              <w:spacing w:after="40"/>
            </w:pPr>
            <w:r>
              <w:rPr>
                <w:sz w:val="20"/>
                <w:szCs w:val="20"/>
              </w:rPr>
              <w:t xml:space="preserve">Reserved exclusively for placement/verification indicators — e.g. a small 'Verified Outcome' tag on testimonials, checkmarks in the comparison table. Used sparingly so it doesn't compete with Gold.</w:t>
            </w:r>
          </w:p>
        </w:tc>
      </w:tr>
      <w:tr>
        <w:trPr>
          <w:cantSplit/>
        </w:trPr>
        <w:tc>
          <w:tcPr>
            <w:tcW w:type="dxa" w:w="900"/>
            <w:shd w:fill="0B1B33" w:val="clear"/>
            <w:tcMar>
              <w:top w:type="dxa" w:w="260"/>
              <w:left w:type="dxa" w:w="80"/>
              <w:bottom w:type="dxa" w:w="260"/>
              <w:right w:type="dxa" w:w="80"/>
            </w:tcMar>
          </w:tcPr>
          <w:p/>
        </w:tc>
        <w:tc>
          <w:tcPr>
            <w:tcW w:type="dxa" w:w="2400"/>
            <w:shd w:fill="FFFFFF" w:val="clear"/>
            <w:tcMar>
              <w:top w:type="dxa" w:w="90"/>
              <w:left w:type="dxa" w:w="120"/>
              <w:bottom w:type="dxa" w:w="90"/>
              <w:right w:type="dxa" w:w="120"/>
            </w:tcMar>
          </w:tcPr>
          <w:p>
            <w:pPr>
              <w:spacing w:after="40"/>
            </w:pPr>
            <w:r>
              <w:rPr>
                <w:b/>
                <w:bCs/>
                <w:sz w:val="20"/>
                <w:szCs w:val="20"/>
              </w:rPr>
              <w:t xml:space="preserve">Navy — Dark Section Fill</w:t>
            </w:r>
          </w:p>
        </w:tc>
        <w:tc>
          <w:tcPr>
            <w:tcW w:type="dxa" w:w="1600"/>
            <w:shd w:fill="FFFFFF" w:val="clear"/>
            <w:tcMar>
              <w:top w:type="dxa" w:w="90"/>
              <w:left w:type="dxa" w:w="120"/>
              <w:bottom w:type="dxa" w:w="90"/>
              <w:right w:type="dxa" w:w="120"/>
            </w:tcMar>
          </w:tcPr>
          <w:p>
            <w:pPr>
              <w:spacing w:after="40"/>
            </w:pPr>
            <w:r>
              <w:rPr>
                <w:rFonts w:ascii="Calibri" w:cs="Calibri" w:eastAsia="Calibri" w:hAnsi="Calibri"/>
                <w:sz w:val="20"/>
                <w:szCs w:val="20"/>
              </w:rPr>
              <w:t xml:space="preserve">#0B1B33</w:t>
            </w:r>
          </w:p>
        </w:tc>
        <w:tc>
          <w:tcPr>
            <w:tcW w:type="dxa" w:w="4460"/>
            <w:shd w:fill="FFFFFF" w:val="clear"/>
            <w:tcMar>
              <w:top w:type="dxa" w:w="90"/>
              <w:left w:type="dxa" w:w="120"/>
              <w:bottom w:type="dxa" w:w="90"/>
              <w:right w:type="dxa" w:w="120"/>
            </w:tcMar>
          </w:tcPr>
          <w:p>
            <w:pPr>
              <w:spacing w:after="40"/>
            </w:pPr>
            <w:r>
              <w:rPr>
                <w:sz w:val="20"/>
                <w:szCs w:val="20"/>
              </w:rPr>
              <w:t xml:space="preserve">Full-bleed dark section backgrounds: Outcome Metrics Band, Final CTA Band. Text on this fill is Ivory (#FAF8F3) or Gold (#C8962C) only.</w:t>
            </w:r>
          </w:p>
        </w:tc>
      </w:tr>
    </w:tbl>
    <w:p>
      <w:pPr>
        <w:pStyle w:val="Heading3"/>
      </w:pPr>
      <w:r>
        <w:t xml:space="preserve">Color Usage Rules</w:t>
      </w:r>
    </w:p>
    <w:p>
      <w:pPr>
        <w:pStyle w:val="ListParagraph"/>
        <w:numPr>
          <w:ilvl w:val="0"/>
          <w:numId w:val="2"/>
        </w:numPr>
        <w:spacing w:after="100" w:line="276"/>
      </w:pPr>
      <w:r>
        <w:t xml:space="preserve">80/15/5 rule: roughly 80% of any viewport is Ivory/White/Slate neutrals, 15% is Navy (dark sections, headline text), and no more than 5% is Gold. This ratio is what keeps the page from drifting toward the 'cheap gradient' aesthetic explicitly being avoided.</w:t>
      </w:r>
    </w:p>
    <w:p>
      <w:pPr>
        <w:pStyle w:val="ListParagraph"/>
        <w:numPr>
          <w:ilvl w:val="0"/>
          <w:numId w:val="2"/>
        </w:numPr>
        <w:spacing w:after="100" w:line="276"/>
      </w:pPr>
      <w:r>
        <w:t xml:space="preserve">Gold is never used as a full section background — only as accents, rules, small tag fills, and CTA buttons. A gold section background would immediately push the page toward the consumer-edtech look this brief rejects.</w:t>
      </w:r>
    </w:p>
    <w:p>
      <w:pPr>
        <w:pStyle w:val="ListParagraph"/>
        <w:numPr>
          <w:ilvl w:val="0"/>
          <w:numId w:val="2"/>
        </w:numPr>
        <w:spacing w:after="100" w:line="276"/>
      </w:pPr>
      <w:r>
        <w:t xml:space="preserve">Exactly two dark-navy full-bleed sections on the whole page (Metrics Band, Final CTA) — this scarcity is what makes them land with weight. A page with four or five dark sections loses the contrast effect entirely.</w:t>
      </w:r>
    </w:p>
    <w:p>
      <w:pPr>
        <w:pStyle w:val="ListParagraph"/>
        <w:numPr>
          <w:ilvl w:val="0"/>
          <w:numId w:val="2"/>
        </w:numPr>
        <w:spacing w:after="100" w:line="276"/>
      </w:pPr>
      <w:r>
        <w:t xml:space="preserve">No gradients anywhere, including on buttons, hero backgrounds, or card overlays. Flat fills only.</w:t>
      </w:r>
    </w:p>
    <w:p>
      <w:pPr>
        <w:pStyle w:val="Heading2"/>
      </w:pPr>
      <w:r>
        <w:t xml:space="preserve">Typography System</w:t>
      </w:r>
    </w:p>
    <w:p>
      <w:pPr>
        <w:spacing w:after="160" w:line="288"/>
      </w:pPr>
      <w:r>
        <w:t xml:space="preserve">A serif display face paired with a clean grotesque-sans body face — the same pairing logic used by premium consulting and finance brands (a serif for institutional gravitas in headlines, a humanist sans for fast executive scanning in body copy and UI).</w:t>
      </w:r>
    </w:p>
    <w:p>
      <w:pPr>
        <w:pStyle w:val="Heading3"/>
      </w:pPr>
      <w:r>
        <w:t xml:space="preserve">Font Recommendations</w:t>
      </w:r>
    </w:p>
    <w:p>
      <w:pPr>
        <w:tabs>
          <w:tab w:val="left" w:pos="2200"/>
        </w:tabs>
        <w:spacing w:after="80"/>
      </w:pPr>
      <w:r>
        <w:rPr>
          <w:b/>
          <w:bCs/>
          <w:sz w:val="21"/>
          <w:szCs w:val="21"/>
        </w:rPr>
        <w:t xml:space="preserve">Display / Headings:</w:t>
      </w:r>
      <w:r>
        <w:rPr>
          <w:sz w:val="21"/>
          <w:szCs w:val="21"/>
        </w:rPr>
        <w:t xml:space="preserve">	“Canela” or “Freight Display Pro” (licensed) — web-safe fallback: “Playfair Display” or “Lora” (Google Fonts, free).</w:t>
      </w:r>
    </w:p>
    <w:p>
      <w:pPr>
        <w:tabs>
          <w:tab w:val="left" w:pos="2200"/>
        </w:tabs>
        <w:spacing w:after="80"/>
      </w:pPr>
      <w:r>
        <w:rPr>
          <w:b/>
          <w:bCs/>
          <w:sz w:val="21"/>
          <w:szCs w:val="21"/>
        </w:rPr>
        <w:t xml:space="preserve">Body / UI:</w:t>
      </w:r>
      <w:r>
        <w:rPr>
          <w:sz w:val="21"/>
          <w:szCs w:val="21"/>
        </w:rPr>
        <w:t xml:space="preserve">	“Söhne” or “GT America” (licensed) — web-safe fallback: “Inter” or “General Sans” (Google Fonts / Fontshare, free).</w:t>
      </w:r>
    </w:p>
    <w:p>
      <w:pPr>
        <w:tabs>
          <w:tab w:val="left" w:pos="2200"/>
        </w:tabs>
        <w:spacing w:after="80"/>
      </w:pPr>
      <w:r>
        <w:rPr>
          <w:b/>
          <w:bCs/>
          <w:sz w:val="21"/>
          <w:szCs w:val="21"/>
        </w:rPr>
        <w:t xml:space="preserve">Numerals (stat band):</w:t>
      </w:r>
      <w:r>
        <w:rPr>
          <w:sz w:val="21"/>
          <w:szCs w:val="21"/>
        </w:rPr>
        <w:t xml:space="preserve">	Same body sans, set with tabular figures (font-variant-numeric: tabular-nums) so multi-digit stats align cleanly in a grid.</w:t>
      </w:r>
    </w:p>
    <w:p>
      <w:pPr>
        <w:spacing w:after="160" w:line="288"/>
      </w:pPr>
      <w:r>
        <w:t xml:space="preserve">Recommended free-stack pairing if no font license budget exists at launch: Playfair Display (headings) + Inter (everything else). This pairing alone, used with the color system above, is sufficient to read as premium — the heavy lifting is done by restraint and spacing, not font cost.</w:t>
      </w:r>
    </w:p>
    <w:p>
      <w:pPr>
        <w:pStyle w:val="Heading3"/>
      </w:pPr>
      <w:r>
        <w:t xml:space="preserve">Heading Scale (desktop / mobile, in px, with line-height)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500"/>
        <w:gridCol w:w="1900"/>
        <w:gridCol w:w="1100"/>
      </w:tblGrid>
      <w:tr>
        <w:trPr>
          <w:tblHeader/>
        </w:trPr>
        <w:tc>
          <w:tcPr>
            <w:tcW w:type="dxa" w:w="20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Token</w:t>
            </w:r>
          </w:p>
        </w:tc>
        <w:tc>
          <w:tcPr>
            <w:tcW w:type="dxa" w:w="17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Desktop Size</w:t>
            </w:r>
          </w:p>
        </w:tc>
        <w:tc>
          <w:tcPr>
            <w:tcW w:type="dxa" w:w="17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Mobile Size</w:t>
            </w:r>
          </w:p>
        </w:tc>
        <w:tc>
          <w:tcPr>
            <w:tcW w:type="dxa" w:w="15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Line-height</w:t>
            </w:r>
          </w:p>
        </w:tc>
        <w:tc>
          <w:tcPr>
            <w:tcW w:type="dxa" w:w="19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Weight</w:t>
            </w:r>
          </w:p>
        </w:tc>
        <w:tc>
          <w:tcPr>
            <w:tcW w:type="dxa" w:w="11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Usage</w:t>
            </w:r>
          </w:p>
        </w:tc>
      </w:tr>
      <w:tr>
        <w:trPr>
          <w:cantSplit/>
        </w:trPr>
        <w:tc>
          <w:tcPr>
            <w:tcW w:type="dxa" w:w="2000"/>
            <w:shd w:fill="FFFFFF" w:val="clear"/>
            <w:tcMar>
              <w:top w:type="dxa" w:w="90"/>
              <w:left w:type="dxa" w:w="120"/>
              <w:bottom w:type="dxa" w:w="90"/>
              <w:right w:type="dxa" w:w="120"/>
            </w:tcMar>
          </w:tcPr>
          <w:p>
            <w:pPr>
              <w:spacing w:after="40"/>
            </w:pPr>
            <w:r>
              <w:rPr>
                <w:sz w:val="20"/>
                <w:szCs w:val="20"/>
              </w:rPr>
              <w:t xml:space="preserve">Display / H1</w:t>
            </w:r>
          </w:p>
        </w:tc>
        <w:tc>
          <w:tcPr>
            <w:tcW w:type="dxa" w:w="1700"/>
            <w:shd w:fill="FFFFFF" w:val="clear"/>
            <w:tcMar>
              <w:top w:type="dxa" w:w="90"/>
              <w:left w:type="dxa" w:w="120"/>
              <w:bottom w:type="dxa" w:w="90"/>
              <w:right w:type="dxa" w:w="120"/>
            </w:tcMar>
          </w:tcPr>
          <w:p>
            <w:pPr>
              <w:spacing w:after="40"/>
            </w:pPr>
            <w:r>
              <w:rPr>
                <w:sz w:val="20"/>
                <w:szCs w:val="20"/>
              </w:rPr>
              <w:t xml:space="preserve">56px</w:t>
            </w:r>
          </w:p>
        </w:tc>
        <w:tc>
          <w:tcPr>
            <w:tcW w:type="dxa" w:w="1700"/>
            <w:shd w:fill="FFFFFF" w:val="clear"/>
            <w:tcMar>
              <w:top w:type="dxa" w:w="90"/>
              <w:left w:type="dxa" w:w="120"/>
              <w:bottom w:type="dxa" w:w="90"/>
              <w:right w:type="dxa" w:w="120"/>
            </w:tcMar>
          </w:tcPr>
          <w:p>
            <w:pPr>
              <w:spacing w:after="40"/>
            </w:pPr>
            <w:r>
              <w:rPr>
                <w:sz w:val="20"/>
                <w:szCs w:val="20"/>
              </w:rPr>
              <w:t xml:space="preserve">34px</w:t>
            </w:r>
          </w:p>
        </w:tc>
        <w:tc>
          <w:tcPr>
            <w:tcW w:type="dxa" w:w="1500"/>
            <w:shd w:fill="FFFFFF" w:val="clear"/>
            <w:tcMar>
              <w:top w:type="dxa" w:w="90"/>
              <w:left w:type="dxa" w:w="120"/>
              <w:bottom w:type="dxa" w:w="90"/>
              <w:right w:type="dxa" w:w="120"/>
            </w:tcMar>
          </w:tcPr>
          <w:p>
            <w:pPr>
              <w:spacing w:after="40"/>
            </w:pPr>
            <w:r>
              <w:rPr>
                <w:sz w:val="20"/>
                <w:szCs w:val="20"/>
              </w:rPr>
              <w:t xml:space="preserve">1.1</w:t>
            </w:r>
          </w:p>
        </w:tc>
        <w:tc>
          <w:tcPr>
            <w:tcW w:type="dxa" w:w="1900"/>
            <w:shd w:fill="FFFFFF" w:val="clear"/>
            <w:tcMar>
              <w:top w:type="dxa" w:w="90"/>
              <w:left w:type="dxa" w:w="120"/>
              <w:bottom w:type="dxa" w:w="90"/>
              <w:right w:type="dxa" w:w="120"/>
            </w:tcMar>
          </w:tcPr>
          <w:p>
            <w:pPr>
              <w:spacing w:after="40"/>
            </w:pPr>
            <w:r>
              <w:rPr>
                <w:sz w:val="20"/>
                <w:szCs w:val="20"/>
              </w:rPr>
              <w:t xml:space="preserve">600 (Semibold)</w:t>
            </w:r>
          </w:p>
        </w:tc>
        <w:tc>
          <w:tcPr>
            <w:tcW w:type="dxa" w:w="1100"/>
            <w:shd w:fill="FFFFFF" w:val="clear"/>
            <w:tcMar>
              <w:top w:type="dxa" w:w="90"/>
              <w:left w:type="dxa" w:w="120"/>
              <w:bottom w:type="dxa" w:w="90"/>
              <w:right w:type="dxa" w:w="120"/>
            </w:tcMar>
          </w:tcPr>
          <w:p>
            <w:pPr>
              <w:spacing w:after="40"/>
            </w:pPr>
            <w:r>
              <w:rPr>
                <w:sz w:val="20"/>
                <w:szCs w:val="20"/>
              </w:rPr>
              <w:t xml:space="preserve">Hero headline only</w:t>
            </w:r>
          </w:p>
        </w:tc>
      </w:tr>
      <w:tr>
        <w:trPr>
          <w:cantSplit/>
        </w:trPr>
        <w:tc>
          <w:tcPr>
            <w:tcW w:type="dxa" w:w="2000"/>
            <w:shd w:fill="F4F6F8" w:val="clear"/>
            <w:tcMar>
              <w:top w:type="dxa" w:w="90"/>
              <w:left w:type="dxa" w:w="120"/>
              <w:bottom w:type="dxa" w:w="90"/>
              <w:right w:type="dxa" w:w="120"/>
            </w:tcMar>
          </w:tcPr>
          <w:p>
            <w:pPr>
              <w:spacing w:after="40"/>
            </w:pPr>
            <w:r>
              <w:rPr>
                <w:sz w:val="20"/>
                <w:szCs w:val="20"/>
              </w:rPr>
              <w:t xml:space="preserve">H2</w:t>
            </w:r>
          </w:p>
        </w:tc>
        <w:tc>
          <w:tcPr>
            <w:tcW w:type="dxa" w:w="1700"/>
            <w:shd w:fill="F4F6F8" w:val="clear"/>
            <w:tcMar>
              <w:top w:type="dxa" w:w="90"/>
              <w:left w:type="dxa" w:w="120"/>
              <w:bottom w:type="dxa" w:w="90"/>
              <w:right w:type="dxa" w:w="120"/>
            </w:tcMar>
          </w:tcPr>
          <w:p>
            <w:pPr>
              <w:spacing w:after="40"/>
            </w:pPr>
            <w:r>
              <w:rPr>
                <w:sz w:val="20"/>
                <w:szCs w:val="20"/>
              </w:rPr>
              <w:t xml:space="preserve">40px</w:t>
            </w:r>
          </w:p>
        </w:tc>
        <w:tc>
          <w:tcPr>
            <w:tcW w:type="dxa" w:w="1700"/>
            <w:shd w:fill="F4F6F8" w:val="clear"/>
            <w:tcMar>
              <w:top w:type="dxa" w:w="90"/>
              <w:left w:type="dxa" w:w="120"/>
              <w:bottom w:type="dxa" w:w="90"/>
              <w:right w:type="dxa" w:w="120"/>
            </w:tcMar>
          </w:tcPr>
          <w:p>
            <w:pPr>
              <w:spacing w:after="40"/>
            </w:pPr>
            <w:r>
              <w:rPr>
                <w:sz w:val="20"/>
                <w:szCs w:val="20"/>
              </w:rPr>
              <w:t xml:space="preserve">28px</w:t>
            </w:r>
          </w:p>
        </w:tc>
        <w:tc>
          <w:tcPr>
            <w:tcW w:type="dxa" w:w="1500"/>
            <w:shd w:fill="F4F6F8" w:val="clear"/>
            <w:tcMar>
              <w:top w:type="dxa" w:w="90"/>
              <w:left w:type="dxa" w:w="120"/>
              <w:bottom w:type="dxa" w:w="90"/>
              <w:right w:type="dxa" w:w="120"/>
            </w:tcMar>
          </w:tcPr>
          <w:p>
            <w:pPr>
              <w:spacing w:after="40"/>
            </w:pPr>
            <w:r>
              <w:rPr>
                <w:sz w:val="20"/>
                <w:szCs w:val="20"/>
              </w:rPr>
              <w:t xml:space="preserve">1.15</w:t>
            </w:r>
          </w:p>
        </w:tc>
        <w:tc>
          <w:tcPr>
            <w:tcW w:type="dxa" w:w="1900"/>
            <w:shd w:fill="F4F6F8" w:val="clear"/>
            <w:tcMar>
              <w:top w:type="dxa" w:w="90"/>
              <w:left w:type="dxa" w:w="120"/>
              <w:bottom w:type="dxa" w:w="90"/>
              <w:right w:type="dxa" w:w="120"/>
            </w:tcMar>
          </w:tcPr>
          <w:p>
            <w:pPr>
              <w:spacing w:after="40"/>
            </w:pPr>
            <w:r>
              <w:rPr>
                <w:sz w:val="20"/>
                <w:szCs w:val="20"/>
              </w:rPr>
              <w:t xml:space="preserve">600</w:t>
            </w:r>
          </w:p>
        </w:tc>
        <w:tc>
          <w:tcPr>
            <w:tcW w:type="dxa" w:w="1100"/>
            <w:shd w:fill="F4F6F8" w:val="clear"/>
            <w:tcMar>
              <w:top w:type="dxa" w:w="90"/>
              <w:left w:type="dxa" w:w="120"/>
              <w:bottom w:type="dxa" w:w="90"/>
              <w:right w:type="dxa" w:w="120"/>
            </w:tcMar>
          </w:tcPr>
          <w:p>
            <w:pPr>
              <w:spacing w:after="40"/>
            </w:pPr>
            <w:r>
              <w:rPr>
                <w:sz w:val="20"/>
                <w:szCs w:val="20"/>
              </w:rPr>
              <w:t xml:space="preserve">Section headlines</w:t>
            </w:r>
          </w:p>
        </w:tc>
      </w:tr>
      <w:tr>
        <w:trPr>
          <w:cantSplit/>
        </w:trPr>
        <w:tc>
          <w:tcPr>
            <w:tcW w:type="dxa" w:w="2000"/>
            <w:shd w:fill="FFFFFF" w:val="clear"/>
            <w:tcMar>
              <w:top w:type="dxa" w:w="90"/>
              <w:left w:type="dxa" w:w="120"/>
              <w:bottom w:type="dxa" w:w="90"/>
              <w:right w:type="dxa" w:w="120"/>
            </w:tcMar>
          </w:tcPr>
          <w:p>
            <w:pPr>
              <w:spacing w:after="40"/>
            </w:pPr>
            <w:r>
              <w:rPr>
                <w:sz w:val="20"/>
                <w:szCs w:val="20"/>
              </w:rPr>
              <w:t xml:space="preserve">H3</w:t>
            </w:r>
          </w:p>
        </w:tc>
        <w:tc>
          <w:tcPr>
            <w:tcW w:type="dxa" w:w="1700"/>
            <w:shd w:fill="FFFFFF" w:val="clear"/>
            <w:tcMar>
              <w:top w:type="dxa" w:w="90"/>
              <w:left w:type="dxa" w:w="120"/>
              <w:bottom w:type="dxa" w:w="90"/>
              <w:right w:type="dxa" w:w="120"/>
            </w:tcMar>
          </w:tcPr>
          <w:p>
            <w:pPr>
              <w:spacing w:after="40"/>
            </w:pPr>
            <w:r>
              <w:rPr>
                <w:sz w:val="20"/>
                <w:szCs w:val="20"/>
              </w:rPr>
              <w:t xml:space="preserve">28px</w:t>
            </w:r>
          </w:p>
        </w:tc>
        <w:tc>
          <w:tcPr>
            <w:tcW w:type="dxa" w:w="1700"/>
            <w:shd w:fill="FFFFFF" w:val="clear"/>
            <w:tcMar>
              <w:top w:type="dxa" w:w="90"/>
              <w:left w:type="dxa" w:w="120"/>
              <w:bottom w:type="dxa" w:w="90"/>
              <w:right w:type="dxa" w:w="120"/>
            </w:tcMar>
          </w:tcPr>
          <w:p>
            <w:pPr>
              <w:spacing w:after="40"/>
            </w:pPr>
            <w:r>
              <w:rPr>
                <w:sz w:val="20"/>
                <w:szCs w:val="20"/>
              </w:rPr>
              <w:t xml:space="preserve">22px</w:t>
            </w:r>
          </w:p>
        </w:tc>
        <w:tc>
          <w:tcPr>
            <w:tcW w:type="dxa" w:w="1500"/>
            <w:shd w:fill="FFFFFF" w:val="clear"/>
            <w:tcMar>
              <w:top w:type="dxa" w:w="90"/>
              <w:left w:type="dxa" w:w="120"/>
              <w:bottom w:type="dxa" w:w="90"/>
              <w:right w:type="dxa" w:w="120"/>
            </w:tcMar>
          </w:tcPr>
          <w:p>
            <w:pPr>
              <w:spacing w:after="40"/>
            </w:pPr>
            <w:r>
              <w:rPr>
                <w:sz w:val="20"/>
                <w:szCs w:val="20"/>
              </w:rPr>
              <w:t xml:space="preserve">1.2</w:t>
            </w:r>
          </w:p>
        </w:tc>
        <w:tc>
          <w:tcPr>
            <w:tcW w:type="dxa" w:w="1900"/>
            <w:shd w:fill="FFFFFF" w:val="clear"/>
            <w:tcMar>
              <w:top w:type="dxa" w:w="90"/>
              <w:left w:type="dxa" w:w="120"/>
              <w:bottom w:type="dxa" w:w="90"/>
              <w:right w:type="dxa" w:w="120"/>
            </w:tcMar>
          </w:tcPr>
          <w:p>
            <w:pPr>
              <w:spacing w:after="40"/>
            </w:pPr>
            <w:r>
              <w:rPr>
                <w:sz w:val="20"/>
                <w:szCs w:val="20"/>
              </w:rPr>
              <w:t xml:space="preserve">600</w:t>
            </w:r>
          </w:p>
        </w:tc>
        <w:tc>
          <w:tcPr>
            <w:tcW w:type="dxa" w:w="1100"/>
            <w:shd w:fill="FFFFFF" w:val="clear"/>
            <w:tcMar>
              <w:top w:type="dxa" w:w="90"/>
              <w:left w:type="dxa" w:w="120"/>
              <w:bottom w:type="dxa" w:w="90"/>
              <w:right w:type="dxa" w:w="120"/>
            </w:tcMar>
          </w:tcPr>
          <w:p>
            <w:pPr>
              <w:spacing w:after="40"/>
            </w:pPr>
            <w:r>
              <w:rPr>
                <w:sz w:val="20"/>
                <w:szCs w:val="20"/>
              </w:rPr>
              <w:t xml:space="preserve">Card titles, sub-section heads</w:t>
            </w:r>
          </w:p>
        </w:tc>
      </w:tr>
      <w:tr>
        <w:trPr>
          <w:cantSplit/>
        </w:trPr>
        <w:tc>
          <w:tcPr>
            <w:tcW w:type="dxa" w:w="2000"/>
            <w:shd w:fill="F4F6F8" w:val="clear"/>
            <w:tcMar>
              <w:top w:type="dxa" w:w="90"/>
              <w:left w:type="dxa" w:w="120"/>
              <w:bottom w:type="dxa" w:w="90"/>
              <w:right w:type="dxa" w:w="120"/>
            </w:tcMar>
          </w:tcPr>
          <w:p>
            <w:pPr>
              <w:spacing w:after="40"/>
            </w:pPr>
            <w:r>
              <w:rPr>
                <w:sz w:val="20"/>
                <w:szCs w:val="20"/>
              </w:rPr>
              <w:t xml:space="preserve">H4</w:t>
            </w:r>
          </w:p>
        </w:tc>
        <w:tc>
          <w:tcPr>
            <w:tcW w:type="dxa" w:w="1700"/>
            <w:shd w:fill="F4F6F8" w:val="clear"/>
            <w:tcMar>
              <w:top w:type="dxa" w:w="90"/>
              <w:left w:type="dxa" w:w="120"/>
              <w:bottom w:type="dxa" w:w="90"/>
              <w:right w:type="dxa" w:w="120"/>
            </w:tcMar>
          </w:tcPr>
          <w:p>
            <w:pPr>
              <w:spacing w:after="40"/>
            </w:pPr>
            <w:r>
              <w:rPr>
                <w:sz w:val="20"/>
                <w:szCs w:val="20"/>
              </w:rPr>
              <w:t xml:space="preserve">20px</w:t>
            </w:r>
          </w:p>
        </w:tc>
        <w:tc>
          <w:tcPr>
            <w:tcW w:type="dxa" w:w="1700"/>
            <w:shd w:fill="F4F6F8" w:val="clear"/>
            <w:tcMar>
              <w:top w:type="dxa" w:w="90"/>
              <w:left w:type="dxa" w:w="120"/>
              <w:bottom w:type="dxa" w:w="90"/>
              <w:right w:type="dxa" w:w="120"/>
            </w:tcMar>
          </w:tcPr>
          <w:p>
            <w:pPr>
              <w:spacing w:after="40"/>
            </w:pPr>
            <w:r>
              <w:rPr>
                <w:sz w:val="20"/>
                <w:szCs w:val="20"/>
              </w:rPr>
              <w:t xml:space="preserve">18px</w:t>
            </w:r>
          </w:p>
        </w:tc>
        <w:tc>
          <w:tcPr>
            <w:tcW w:type="dxa" w:w="1500"/>
            <w:shd w:fill="F4F6F8" w:val="clear"/>
            <w:tcMar>
              <w:top w:type="dxa" w:w="90"/>
              <w:left w:type="dxa" w:w="120"/>
              <w:bottom w:type="dxa" w:w="90"/>
              <w:right w:type="dxa" w:w="120"/>
            </w:tcMar>
          </w:tcPr>
          <w:p>
            <w:pPr>
              <w:spacing w:after="40"/>
            </w:pPr>
            <w:r>
              <w:rPr>
                <w:sz w:val="20"/>
                <w:szCs w:val="20"/>
              </w:rPr>
              <w:t xml:space="preserve">1.3</w:t>
            </w:r>
          </w:p>
        </w:tc>
        <w:tc>
          <w:tcPr>
            <w:tcW w:type="dxa" w:w="1900"/>
            <w:shd w:fill="F4F6F8" w:val="clear"/>
            <w:tcMar>
              <w:top w:type="dxa" w:w="90"/>
              <w:left w:type="dxa" w:w="120"/>
              <w:bottom w:type="dxa" w:w="90"/>
              <w:right w:type="dxa" w:w="120"/>
            </w:tcMar>
          </w:tcPr>
          <w:p>
            <w:pPr>
              <w:spacing w:after="40"/>
            </w:pPr>
            <w:r>
              <w:rPr>
                <w:sz w:val="20"/>
                <w:szCs w:val="20"/>
              </w:rPr>
              <w:t xml:space="preserve">600</w:t>
            </w:r>
          </w:p>
        </w:tc>
        <w:tc>
          <w:tcPr>
            <w:tcW w:type="dxa" w:w="1100"/>
            <w:shd w:fill="F4F6F8" w:val="clear"/>
            <w:tcMar>
              <w:top w:type="dxa" w:w="90"/>
              <w:left w:type="dxa" w:w="120"/>
              <w:bottom w:type="dxa" w:w="90"/>
              <w:right w:type="dxa" w:w="120"/>
            </w:tcMar>
          </w:tcPr>
          <w:p>
            <w:pPr>
              <w:spacing w:after="40"/>
            </w:pPr>
            <w:r>
              <w:rPr>
                <w:sz w:val="20"/>
                <w:szCs w:val="20"/>
              </w:rPr>
              <w:t xml:space="preserve">Mentor names, FAQ questions</w:t>
            </w:r>
          </w:p>
        </w:tc>
      </w:tr>
      <w:tr>
        <w:trPr>
          <w:cantSplit/>
        </w:trPr>
        <w:tc>
          <w:tcPr>
            <w:tcW w:type="dxa" w:w="2000"/>
            <w:shd w:fill="FFFFFF" w:val="clear"/>
            <w:tcMar>
              <w:top w:type="dxa" w:w="90"/>
              <w:left w:type="dxa" w:w="120"/>
              <w:bottom w:type="dxa" w:w="90"/>
              <w:right w:type="dxa" w:w="120"/>
            </w:tcMar>
          </w:tcPr>
          <w:p>
            <w:pPr>
              <w:spacing w:after="40"/>
            </w:pPr>
            <w:r>
              <w:rPr>
                <w:sz w:val="20"/>
                <w:szCs w:val="20"/>
              </w:rPr>
              <w:t xml:space="preserve">Eyebrow Label</w:t>
            </w:r>
          </w:p>
        </w:tc>
        <w:tc>
          <w:tcPr>
            <w:tcW w:type="dxa" w:w="1700"/>
            <w:shd w:fill="FFFFFF" w:val="clear"/>
            <w:tcMar>
              <w:top w:type="dxa" w:w="90"/>
              <w:left w:type="dxa" w:w="120"/>
              <w:bottom w:type="dxa" w:w="90"/>
              <w:right w:type="dxa" w:w="120"/>
            </w:tcMar>
          </w:tcPr>
          <w:p>
            <w:pPr>
              <w:spacing w:after="40"/>
            </w:pPr>
            <w:r>
              <w:rPr>
                <w:sz w:val="20"/>
                <w:szCs w:val="20"/>
              </w:rPr>
              <w:t xml:space="preserve">13px</w:t>
            </w:r>
          </w:p>
        </w:tc>
        <w:tc>
          <w:tcPr>
            <w:tcW w:type="dxa" w:w="1700"/>
            <w:shd w:fill="FFFFFF" w:val="clear"/>
            <w:tcMar>
              <w:top w:type="dxa" w:w="90"/>
              <w:left w:type="dxa" w:w="120"/>
              <w:bottom w:type="dxa" w:w="90"/>
              <w:right w:type="dxa" w:w="120"/>
            </w:tcMar>
          </w:tcPr>
          <w:p>
            <w:pPr>
              <w:spacing w:after="40"/>
            </w:pPr>
            <w:r>
              <w:rPr>
                <w:sz w:val="20"/>
                <w:szCs w:val="20"/>
              </w:rPr>
              <w:t xml:space="preserve">12px</w:t>
            </w:r>
          </w:p>
        </w:tc>
        <w:tc>
          <w:tcPr>
            <w:tcW w:type="dxa" w:w="1500"/>
            <w:shd w:fill="FFFFFF" w:val="clear"/>
            <w:tcMar>
              <w:top w:type="dxa" w:w="90"/>
              <w:left w:type="dxa" w:w="120"/>
              <w:bottom w:type="dxa" w:w="90"/>
              <w:right w:type="dxa" w:w="120"/>
            </w:tcMar>
          </w:tcPr>
          <w:p>
            <w:pPr>
              <w:spacing w:after="40"/>
            </w:pPr>
            <w:r>
              <w:rPr>
                <w:sz w:val="20"/>
                <w:szCs w:val="20"/>
              </w:rPr>
              <w:t xml:space="preserve">1.4</w:t>
            </w:r>
          </w:p>
        </w:tc>
        <w:tc>
          <w:tcPr>
            <w:tcW w:type="dxa" w:w="1900"/>
            <w:shd w:fill="FFFFFF" w:val="clear"/>
            <w:tcMar>
              <w:top w:type="dxa" w:w="90"/>
              <w:left w:type="dxa" w:w="120"/>
              <w:bottom w:type="dxa" w:w="90"/>
              <w:right w:type="dxa" w:w="120"/>
            </w:tcMar>
          </w:tcPr>
          <w:p>
            <w:pPr>
              <w:spacing w:after="40"/>
            </w:pPr>
            <w:r>
              <w:rPr>
                <w:sz w:val="20"/>
                <w:szCs w:val="20"/>
              </w:rPr>
              <w:t xml:space="preserve">600, +0.08em tracking, uppercase</w:t>
            </w:r>
          </w:p>
        </w:tc>
        <w:tc>
          <w:tcPr>
            <w:tcW w:type="dxa" w:w="1100"/>
            <w:shd w:fill="FFFFFF" w:val="clear"/>
            <w:tcMar>
              <w:top w:type="dxa" w:w="90"/>
              <w:left w:type="dxa" w:w="120"/>
              <w:bottom w:type="dxa" w:w="90"/>
              <w:right w:type="dxa" w:w="120"/>
            </w:tcMar>
          </w:tcPr>
          <w:p>
            <w:pPr>
              <w:spacing w:after="40"/>
            </w:pPr>
            <w:r>
              <w:rPr>
                <w:sz w:val="20"/>
                <w:szCs w:val="20"/>
              </w:rPr>
              <w:t xml:space="preserve">Small labels above headings</w:t>
            </w:r>
          </w:p>
        </w:tc>
      </w:tr>
    </w:tbl>
    <w:p>
      <w:pPr>
        <w:pStyle w:val="Heading3"/>
      </w:pPr>
      <w:r>
        <w:t xml:space="preserve">Body Scale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2200"/>
        <w:gridCol w:w="2300"/>
      </w:tblGrid>
      <w:tr>
        <w:trPr>
          <w:tblHeader/>
        </w:trPr>
        <w:tc>
          <w:tcPr>
            <w:tcW w:type="dxa" w:w="24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Token</w:t>
            </w:r>
          </w:p>
        </w:tc>
        <w:tc>
          <w:tcPr>
            <w:tcW w:type="dxa" w:w="15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Size</w:t>
            </w:r>
          </w:p>
        </w:tc>
        <w:tc>
          <w:tcPr>
            <w:tcW w:type="dxa" w:w="15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Line-height</w:t>
            </w:r>
          </w:p>
        </w:tc>
        <w:tc>
          <w:tcPr>
            <w:tcW w:type="dxa" w:w="22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Weight</w:t>
            </w:r>
          </w:p>
        </w:tc>
        <w:tc>
          <w:tcPr>
            <w:tcW w:type="dxa" w:w="23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Usage</w:t>
            </w:r>
          </w:p>
        </w:tc>
      </w:tr>
      <w:tr>
        <w:trPr>
          <w:cantSplit/>
        </w:trPr>
        <w:tc>
          <w:tcPr>
            <w:tcW w:type="dxa" w:w="2400"/>
            <w:shd w:fill="FFFFFF" w:val="clear"/>
            <w:tcMar>
              <w:top w:type="dxa" w:w="90"/>
              <w:left w:type="dxa" w:w="120"/>
              <w:bottom w:type="dxa" w:w="90"/>
              <w:right w:type="dxa" w:w="120"/>
            </w:tcMar>
          </w:tcPr>
          <w:p>
            <w:pPr>
              <w:spacing w:after="40"/>
            </w:pPr>
            <w:r>
              <w:rPr>
                <w:sz w:val="20"/>
                <w:szCs w:val="20"/>
              </w:rPr>
              <w:t xml:space="preserve">Body Large</w:t>
            </w:r>
          </w:p>
        </w:tc>
        <w:tc>
          <w:tcPr>
            <w:tcW w:type="dxa" w:w="1500"/>
            <w:shd w:fill="FFFFFF" w:val="clear"/>
            <w:tcMar>
              <w:top w:type="dxa" w:w="90"/>
              <w:left w:type="dxa" w:w="120"/>
              <w:bottom w:type="dxa" w:w="90"/>
              <w:right w:type="dxa" w:w="120"/>
            </w:tcMar>
          </w:tcPr>
          <w:p>
            <w:pPr>
              <w:spacing w:after="40"/>
            </w:pPr>
            <w:r>
              <w:rPr>
                <w:sz w:val="20"/>
                <w:szCs w:val="20"/>
              </w:rPr>
              <w:t xml:space="preserve">18px</w:t>
            </w:r>
          </w:p>
        </w:tc>
        <w:tc>
          <w:tcPr>
            <w:tcW w:type="dxa" w:w="1500"/>
            <w:shd w:fill="FFFFFF" w:val="clear"/>
            <w:tcMar>
              <w:top w:type="dxa" w:w="90"/>
              <w:left w:type="dxa" w:w="120"/>
              <w:bottom w:type="dxa" w:w="90"/>
              <w:right w:type="dxa" w:w="120"/>
            </w:tcMar>
          </w:tcPr>
          <w:p>
            <w:pPr>
              <w:spacing w:after="40"/>
            </w:pPr>
            <w:r>
              <w:rPr>
                <w:sz w:val="20"/>
                <w:szCs w:val="20"/>
              </w:rPr>
              <w:t xml:space="preserve">1.6</w:t>
            </w:r>
          </w:p>
        </w:tc>
        <w:tc>
          <w:tcPr>
            <w:tcW w:type="dxa" w:w="2200"/>
            <w:shd w:fill="FFFFFF" w:val="clear"/>
            <w:tcMar>
              <w:top w:type="dxa" w:w="90"/>
              <w:left w:type="dxa" w:w="120"/>
              <w:bottom w:type="dxa" w:w="90"/>
              <w:right w:type="dxa" w:w="120"/>
            </w:tcMar>
          </w:tcPr>
          <w:p>
            <w:pPr>
              <w:spacing w:after="40"/>
            </w:pPr>
            <w:r>
              <w:rPr>
                <w:sz w:val="20"/>
                <w:szCs w:val="20"/>
              </w:rPr>
              <w:t xml:space="preserve">400</w:t>
            </w:r>
          </w:p>
        </w:tc>
        <w:tc>
          <w:tcPr>
            <w:tcW w:type="dxa" w:w="2300"/>
            <w:shd w:fill="FFFFFF" w:val="clear"/>
            <w:tcMar>
              <w:top w:type="dxa" w:w="90"/>
              <w:left w:type="dxa" w:w="120"/>
              <w:bottom w:type="dxa" w:w="90"/>
              <w:right w:type="dxa" w:w="120"/>
            </w:tcMar>
          </w:tcPr>
          <w:p>
            <w:pPr>
              <w:spacing w:after="40"/>
            </w:pPr>
            <w:r>
              <w:rPr>
                <w:sz w:val="20"/>
                <w:szCs w:val="20"/>
              </w:rPr>
              <w:t xml:space="preserve">Hero subhead, lead paragraphs</w:t>
            </w:r>
          </w:p>
        </w:tc>
      </w:tr>
      <w:tr>
        <w:trPr>
          <w:cantSplit/>
        </w:trPr>
        <w:tc>
          <w:tcPr>
            <w:tcW w:type="dxa" w:w="2400"/>
            <w:shd w:fill="F4F6F8" w:val="clear"/>
            <w:tcMar>
              <w:top w:type="dxa" w:w="90"/>
              <w:left w:type="dxa" w:w="120"/>
              <w:bottom w:type="dxa" w:w="90"/>
              <w:right w:type="dxa" w:w="120"/>
            </w:tcMar>
          </w:tcPr>
          <w:p>
            <w:pPr>
              <w:spacing w:after="40"/>
            </w:pPr>
            <w:r>
              <w:rPr>
                <w:sz w:val="20"/>
                <w:szCs w:val="20"/>
              </w:rPr>
              <w:t xml:space="preserve">Body Default</w:t>
            </w:r>
          </w:p>
        </w:tc>
        <w:tc>
          <w:tcPr>
            <w:tcW w:type="dxa" w:w="1500"/>
            <w:shd w:fill="F4F6F8" w:val="clear"/>
            <w:tcMar>
              <w:top w:type="dxa" w:w="90"/>
              <w:left w:type="dxa" w:w="120"/>
              <w:bottom w:type="dxa" w:w="90"/>
              <w:right w:type="dxa" w:w="120"/>
            </w:tcMar>
          </w:tcPr>
          <w:p>
            <w:pPr>
              <w:spacing w:after="40"/>
            </w:pPr>
            <w:r>
              <w:rPr>
                <w:sz w:val="20"/>
                <w:szCs w:val="20"/>
              </w:rPr>
              <w:t xml:space="preserve">16px</w:t>
            </w:r>
          </w:p>
        </w:tc>
        <w:tc>
          <w:tcPr>
            <w:tcW w:type="dxa" w:w="1500"/>
            <w:shd w:fill="F4F6F8" w:val="clear"/>
            <w:tcMar>
              <w:top w:type="dxa" w:w="90"/>
              <w:left w:type="dxa" w:w="120"/>
              <w:bottom w:type="dxa" w:w="90"/>
              <w:right w:type="dxa" w:w="120"/>
            </w:tcMar>
          </w:tcPr>
          <w:p>
            <w:pPr>
              <w:spacing w:after="40"/>
            </w:pPr>
            <w:r>
              <w:rPr>
                <w:sz w:val="20"/>
                <w:szCs w:val="20"/>
              </w:rPr>
              <w:t xml:space="preserve">1.6</w:t>
            </w:r>
          </w:p>
        </w:tc>
        <w:tc>
          <w:tcPr>
            <w:tcW w:type="dxa" w:w="2200"/>
            <w:shd w:fill="F4F6F8" w:val="clear"/>
            <w:tcMar>
              <w:top w:type="dxa" w:w="90"/>
              <w:left w:type="dxa" w:w="120"/>
              <w:bottom w:type="dxa" w:w="90"/>
              <w:right w:type="dxa" w:w="120"/>
            </w:tcMar>
          </w:tcPr>
          <w:p>
            <w:pPr>
              <w:spacing w:after="40"/>
            </w:pPr>
            <w:r>
              <w:rPr>
                <w:sz w:val="20"/>
                <w:szCs w:val="20"/>
              </w:rPr>
              <w:t xml:space="preserve">400</w:t>
            </w:r>
          </w:p>
        </w:tc>
        <w:tc>
          <w:tcPr>
            <w:tcW w:type="dxa" w:w="2300"/>
            <w:shd w:fill="F4F6F8" w:val="clear"/>
            <w:tcMar>
              <w:top w:type="dxa" w:w="90"/>
              <w:left w:type="dxa" w:w="120"/>
              <w:bottom w:type="dxa" w:w="90"/>
              <w:right w:type="dxa" w:w="120"/>
            </w:tcMar>
          </w:tcPr>
          <w:p>
            <w:pPr>
              <w:spacing w:after="40"/>
            </w:pPr>
            <w:r>
              <w:rPr>
                <w:sz w:val="20"/>
                <w:szCs w:val="20"/>
              </w:rPr>
              <w:t xml:space="preserve">Card descriptions, FAQ answers</w:t>
            </w:r>
          </w:p>
        </w:tc>
      </w:tr>
      <w:tr>
        <w:trPr>
          <w:cantSplit/>
        </w:trPr>
        <w:tc>
          <w:tcPr>
            <w:tcW w:type="dxa" w:w="2400"/>
            <w:shd w:fill="FFFFFF" w:val="clear"/>
            <w:tcMar>
              <w:top w:type="dxa" w:w="90"/>
              <w:left w:type="dxa" w:w="120"/>
              <w:bottom w:type="dxa" w:w="90"/>
              <w:right w:type="dxa" w:w="120"/>
            </w:tcMar>
          </w:tcPr>
          <w:p>
            <w:pPr>
              <w:spacing w:after="40"/>
            </w:pPr>
            <w:r>
              <w:rPr>
                <w:sz w:val="20"/>
                <w:szCs w:val="20"/>
              </w:rPr>
              <w:t xml:space="preserve">Body Small</w:t>
            </w:r>
          </w:p>
        </w:tc>
        <w:tc>
          <w:tcPr>
            <w:tcW w:type="dxa" w:w="1500"/>
            <w:shd w:fill="FFFFFF" w:val="clear"/>
            <w:tcMar>
              <w:top w:type="dxa" w:w="90"/>
              <w:left w:type="dxa" w:w="120"/>
              <w:bottom w:type="dxa" w:w="90"/>
              <w:right w:type="dxa" w:w="120"/>
            </w:tcMar>
          </w:tcPr>
          <w:p>
            <w:pPr>
              <w:spacing w:after="40"/>
            </w:pPr>
            <w:r>
              <w:rPr>
                <w:sz w:val="20"/>
                <w:szCs w:val="20"/>
              </w:rPr>
              <w:t xml:space="preserve">14px</w:t>
            </w:r>
          </w:p>
        </w:tc>
        <w:tc>
          <w:tcPr>
            <w:tcW w:type="dxa" w:w="1500"/>
            <w:shd w:fill="FFFFFF" w:val="clear"/>
            <w:tcMar>
              <w:top w:type="dxa" w:w="90"/>
              <w:left w:type="dxa" w:w="120"/>
              <w:bottom w:type="dxa" w:w="90"/>
              <w:right w:type="dxa" w:w="120"/>
            </w:tcMar>
          </w:tcPr>
          <w:p>
            <w:pPr>
              <w:spacing w:after="40"/>
            </w:pPr>
            <w:r>
              <w:rPr>
                <w:sz w:val="20"/>
                <w:szCs w:val="20"/>
              </w:rPr>
              <w:t xml:space="preserve">1.5</w:t>
            </w:r>
          </w:p>
        </w:tc>
        <w:tc>
          <w:tcPr>
            <w:tcW w:type="dxa" w:w="2200"/>
            <w:shd w:fill="FFFFFF" w:val="clear"/>
            <w:tcMar>
              <w:top w:type="dxa" w:w="90"/>
              <w:left w:type="dxa" w:w="120"/>
              <w:bottom w:type="dxa" w:w="90"/>
              <w:right w:type="dxa" w:w="120"/>
            </w:tcMar>
          </w:tcPr>
          <w:p>
            <w:pPr>
              <w:spacing w:after="40"/>
            </w:pPr>
            <w:r>
              <w:rPr>
                <w:sz w:val="20"/>
                <w:szCs w:val="20"/>
              </w:rPr>
              <w:t xml:space="preserve">400/500</w:t>
            </w:r>
          </w:p>
        </w:tc>
        <w:tc>
          <w:tcPr>
            <w:tcW w:type="dxa" w:w="2300"/>
            <w:shd w:fill="FFFFFF" w:val="clear"/>
            <w:tcMar>
              <w:top w:type="dxa" w:w="90"/>
              <w:left w:type="dxa" w:w="120"/>
              <w:bottom w:type="dxa" w:w="90"/>
              <w:right w:type="dxa" w:w="120"/>
            </w:tcMar>
          </w:tcPr>
          <w:p>
            <w:pPr>
              <w:spacing w:after="40"/>
            </w:pPr>
            <w:r>
              <w:rPr>
                <w:sz w:val="20"/>
                <w:szCs w:val="20"/>
              </w:rPr>
              <w:t xml:space="preserve">Meta rows, captions, footnotes</w:t>
            </w:r>
          </w:p>
        </w:tc>
      </w:tr>
      <w:tr>
        <w:trPr>
          <w:cantSplit/>
        </w:trPr>
        <w:tc>
          <w:tcPr>
            <w:tcW w:type="dxa" w:w="2400"/>
            <w:shd w:fill="F4F6F8" w:val="clear"/>
            <w:tcMar>
              <w:top w:type="dxa" w:w="90"/>
              <w:left w:type="dxa" w:w="120"/>
              <w:bottom w:type="dxa" w:w="90"/>
              <w:right w:type="dxa" w:w="120"/>
            </w:tcMar>
          </w:tcPr>
          <w:p>
            <w:pPr>
              <w:spacing w:after="40"/>
            </w:pPr>
            <w:r>
              <w:rPr>
                <w:sz w:val="20"/>
                <w:szCs w:val="20"/>
              </w:rPr>
              <w:t xml:space="preserve">Stat Numeral (band)</w:t>
            </w:r>
          </w:p>
        </w:tc>
        <w:tc>
          <w:tcPr>
            <w:tcW w:type="dxa" w:w="1500"/>
            <w:shd w:fill="F4F6F8" w:val="clear"/>
            <w:tcMar>
              <w:top w:type="dxa" w:w="90"/>
              <w:left w:type="dxa" w:w="120"/>
              <w:bottom w:type="dxa" w:w="90"/>
              <w:right w:type="dxa" w:w="120"/>
            </w:tcMar>
          </w:tcPr>
          <w:p>
            <w:pPr>
              <w:spacing w:after="40"/>
            </w:pPr>
            <w:r>
              <w:rPr>
                <w:sz w:val="20"/>
                <w:szCs w:val="20"/>
              </w:rPr>
              <w:t xml:space="preserve">48px / 32px mobile</w:t>
            </w:r>
          </w:p>
        </w:tc>
        <w:tc>
          <w:tcPr>
            <w:tcW w:type="dxa" w:w="1500"/>
            <w:shd w:fill="F4F6F8" w:val="clear"/>
            <w:tcMar>
              <w:top w:type="dxa" w:w="90"/>
              <w:left w:type="dxa" w:w="120"/>
              <w:bottom w:type="dxa" w:w="90"/>
              <w:right w:type="dxa" w:w="120"/>
            </w:tcMar>
          </w:tcPr>
          <w:p>
            <w:pPr>
              <w:spacing w:after="40"/>
            </w:pPr>
            <w:r>
              <w:rPr>
                <w:sz w:val="20"/>
                <w:szCs w:val="20"/>
              </w:rPr>
              <w:t xml:space="preserve">1.1</w:t>
            </w:r>
          </w:p>
        </w:tc>
        <w:tc>
          <w:tcPr>
            <w:tcW w:type="dxa" w:w="2200"/>
            <w:shd w:fill="F4F6F8" w:val="clear"/>
            <w:tcMar>
              <w:top w:type="dxa" w:w="90"/>
              <w:left w:type="dxa" w:w="120"/>
              <w:bottom w:type="dxa" w:w="90"/>
              <w:right w:type="dxa" w:w="120"/>
            </w:tcMar>
          </w:tcPr>
          <w:p>
            <w:pPr>
              <w:spacing w:after="40"/>
            </w:pPr>
            <w:r>
              <w:rPr>
                <w:sz w:val="20"/>
                <w:szCs w:val="20"/>
              </w:rPr>
              <w:t xml:space="preserve">600, tabular-nums</w:t>
            </w:r>
          </w:p>
        </w:tc>
        <w:tc>
          <w:tcPr>
            <w:tcW w:type="dxa" w:w="2300"/>
            <w:shd w:fill="F4F6F8" w:val="clear"/>
            <w:tcMar>
              <w:top w:type="dxa" w:w="90"/>
              <w:left w:type="dxa" w:w="120"/>
              <w:bottom w:type="dxa" w:w="90"/>
              <w:right w:type="dxa" w:w="120"/>
            </w:tcMar>
          </w:tcPr>
          <w:p>
            <w:pPr>
              <w:spacing w:after="40"/>
            </w:pPr>
            <w:r>
              <w:rPr>
                <w:sz w:val="20"/>
                <w:szCs w:val="20"/>
              </w:rPr>
              <w:t xml:space="preserve">Metrics Band numbers</w:t>
            </w:r>
          </w:p>
        </w:tc>
      </w:tr>
      <w:tr>
        <w:trPr>
          <w:cantSplit/>
        </w:trPr>
        <w:tc>
          <w:tcPr>
            <w:tcW w:type="dxa" w:w="2400"/>
            <w:shd w:fill="FFFFFF" w:val="clear"/>
            <w:tcMar>
              <w:top w:type="dxa" w:w="90"/>
              <w:left w:type="dxa" w:w="120"/>
              <w:bottom w:type="dxa" w:w="90"/>
              <w:right w:type="dxa" w:w="120"/>
            </w:tcMar>
          </w:tcPr>
          <w:p>
            <w:pPr>
              <w:spacing w:after="40"/>
            </w:pPr>
            <w:r>
              <w:rPr>
                <w:sz w:val="20"/>
                <w:szCs w:val="20"/>
              </w:rPr>
              <w:t xml:space="preserve">Button Label</w:t>
            </w:r>
          </w:p>
        </w:tc>
        <w:tc>
          <w:tcPr>
            <w:tcW w:type="dxa" w:w="1500"/>
            <w:shd w:fill="FFFFFF" w:val="clear"/>
            <w:tcMar>
              <w:top w:type="dxa" w:w="90"/>
              <w:left w:type="dxa" w:w="120"/>
              <w:bottom w:type="dxa" w:w="90"/>
              <w:right w:type="dxa" w:w="120"/>
            </w:tcMar>
          </w:tcPr>
          <w:p>
            <w:pPr>
              <w:spacing w:after="40"/>
            </w:pPr>
            <w:r>
              <w:rPr>
                <w:sz w:val="20"/>
                <w:szCs w:val="20"/>
              </w:rPr>
              <w:t xml:space="preserve">15px</w:t>
            </w:r>
          </w:p>
        </w:tc>
        <w:tc>
          <w:tcPr>
            <w:tcW w:type="dxa" w:w="1500"/>
            <w:shd w:fill="FFFFFF" w:val="clear"/>
            <w:tcMar>
              <w:top w:type="dxa" w:w="90"/>
              <w:left w:type="dxa" w:w="120"/>
              <w:bottom w:type="dxa" w:w="90"/>
              <w:right w:type="dxa" w:w="120"/>
            </w:tcMar>
          </w:tcPr>
          <w:p>
            <w:pPr>
              <w:spacing w:after="40"/>
            </w:pPr>
            <w:r>
              <w:rPr>
                <w:sz w:val="20"/>
                <w:szCs w:val="20"/>
              </w:rPr>
              <w:t xml:space="preserve">1</w:t>
            </w:r>
          </w:p>
        </w:tc>
        <w:tc>
          <w:tcPr>
            <w:tcW w:type="dxa" w:w="2200"/>
            <w:shd w:fill="FFFFFF" w:val="clear"/>
            <w:tcMar>
              <w:top w:type="dxa" w:w="90"/>
              <w:left w:type="dxa" w:w="120"/>
              <w:bottom w:type="dxa" w:w="90"/>
              <w:right w:type="dxa" w:w="120"/>
            </w:tcMar>
          </w:tcPr>
          <w:p>
            <w:pPr>
              <w:spacing w:after="40"/>
            </w:pPr>
            <w:r>
              <w:rPr>
                <w:sz w:val="20"/>
                <w:szCs w:val="20"/>
              </w:rPr>
              <w:t xml:space="preserve">600, +0.02em tracking</w:t>
            </w:r>
          </w:p>
        </w:tc>
        <w:tc>
          <w:tcPr>
            <w:tcW w:type="dxa" w:w="2300"/>
            <w:shd w:fill="FFFFFF" w:val="clear"/>
            <w:tcMar>
              <w:top w:type="dxa" w:w="90"/>
              <w:left w:type="dxa" w:w="120"/>
              <w:bottom w:type="dxa" w:w="90"/>
              <w:right w:type="dxa" w:w="120"/>
            </w:tcMar>
          </w:tcPr>
          <w:p>
            <w:pPr>
              <w:spacing w:after="40"/>
            </w:pPr>
            <w:r>
              <w:rPr>
                <w:sz w:val="20"/>
                <w:szCs w:val="20"/>
              </w:rPr>
              <w:t xml:space="preserve">All CTA buttons</w:t>
            </w:r>
          </w:p>
        </w:tc>
      </w:tr>
    </w:tbl>
    <w:p>
      <w:pPr>
        <w:pStyle w:val="Heading2"/>
      </w:pPr>
      <w:r>
        <w:t xml:space="preserve">Spacing System</w:t>
      </w:r>
    </w:p>
    <w:p>
      <w:pPr>
        <w:spacing w:after="160" w:line="288"/>
      </w:pPr>
      <w:r>
        <w:t xml:space="preserve">8px base unit throughout. This keeps every margin, padding, and gap value predictable and prevents the slightly-off, template-built feeling that comes from arbitrary spacing.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rPr>
          <w:tblHeader/>
        </w:trPr>
        <w:tc>
          <w:tcPr>
            <w:tcW w:type="dxa" w:w="18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Token</w:t>
            </w:r>
          </w:p>
        </w:tc>
        <w:tc>
          <w:tcPr>
            <w:tcW w:type="dxa" w:w="15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Value</w:t>
            </w:r>
          </w:p>
        </w:tc>
        <w:tc>
          <w:tcPr>
            <w:tcW w:type="dxa" w:w="57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Typical Use</w:t>
            </w:r>
          </w:p>
        </w:tc>
      </w:tr>
      <w:tr>
        <w:trPr>
          <w:cantSplit/>
        </w:trPr>
        <w:tc>
          <w:tcPr>
            <w:tcW w:type="dxa" w:w="1800"/>
            <w:shd w:fill="FFFFFF" w:val="clear"/>
            <w:tcMar>
              <w:top w:type="dxa" w:w="90"/>
              <w:left w:type="dxa" w:w="120"/>
              <w:bottom w:type="dxa" w:w="90"/>
              <w:right w:type="dxa" w:w="120"/>
            </w:tcMar>
          </w:tcPr>
          <w:p>
            <w:pPr>
              <w:spacing w:after="40"/>
            </w:pPr>
            <w:r>
              <w:rPr>
                <w:sz w:val="20"/>
                <w:szCs w:val="20"/>
              </w:rPr>
              <w:t xml:space="preserve">space-1</w:t>
            </w:r>
          </w:p>
        </w:tc>
        <w:tc>
          <w:tcPr>
            <w:tcW w:type="dxa" w:w="1500"/>
            <w:shd w:fill="FFFFFF" w:val="clear"/>
            <w:tcMar>
              <w:top w:type="dxa" w:w="90"/>
              <w:left w:type="dxa" w:w="120"/>
              <w:bottom w:type="dxa" w:w="90"/>
              <w:right w:type="dxa" w:w="120"/>
            </w:tcMar>
          </w:tcPr>
          <w:p>
            <w:pPr>
              <w:spacing w:after="40"/>
            </w:pPr>
            <w:r>
              <w:rPr>
                <w:sz w:val="20"/>
                <w:szCs w:val="20"/>
              </w:rPr>
              <w:t xml:space="preserve">8px</w:t>
            </w:r>
          </w:p>
        </w:tc>
        <w:tc>
          <w:tcPr>
            <w:tcW w:type="dxa" w:w="5700"/>
            <w:shd w:fill="FFFFFF" w:val="clear"/>
            <w:tcMar>
              <w:top w:type="dxa" w:w="90"/>
              <w:left w:type="dxa" w:w="120"/>
              <w:bottom w:type="dxa" w:w="90"/>
              <w:right w:type="dxa" w:w="120"/>
            </w:tcMar>
          </w:tcPr>
          <w:p>
            <w:pPr>
              <w:spacing w:after="40"/>
            </w:pPr>
            <w:r>
              <w:rPr>
                <w:sz w:val="20"/>
                <w:szCs w:val="20"/>
              </w:rPr>
              <w:t xml:space="preserve">Icon-to-label gaps, tight inline spacing</w:t>
            </w:r>
          </w:p>
        </w:tc>
      </w:tr>
      <w:tr>
        <w:trPr>
          <w:cantSplit/>
        </w:trPr>
        <w:tc>
          <w:tcPr>
            <w:tcW w:type="dxa" w:w="1800"/>
            <w:shd w:fill="F4F6F8" w:val="clear"/>
            <w:tcMar>
              <w:top w:type="dxa" w:w="90"/>
              <w:left w:type="dxa" w:w="120"/>
              <w:bottom w:type="dxa" w:w="90"/>
              <w:right w:type="dxa" w:w="120"/>
            </w:tcMar>
          </w:tcPr>
          <w:p>
            <w:pPr>
              <w:spacing w:after="40"/>
            </w:pPr>
            <w:r>
              <w:rPr>
                <w:sz w:val="20"/>
                <w:szCs w:val="20"/>
              </w:rPr>
              <w:t xml:space="preserve">space-2</w:t>
            </w:r>
          </w:p>
        </w:tc>
        <w:tc>
          <w:tcPr>
            <w:tcW w:type="dxa" w:w="1500"/>
            <w:shd w:fill="F4F6F8" w:val="clear"/>
            <w:tcMar>
              <w:top w:type="dxa" w:w="90"/>
              <w:left w:type="dxa" w:w="120"/>
              <w:bottom w:type="dxa" w:w="90"/>
              <w:right w:type="dxa" w:w="120"/>
            </w:tcMar>
          </w:tcPr>
          <w:p>
            <w:pPr>
              <w:spacing w:after="40"/>
            </w:pPr>
            <w:r>
              <w:rPr>
                <w:sz w:val="20"/>
                <w:szCs w:val="20"/>
              </w:rPr>
              <w:t xml:space="preserve">16px</w:t>
            </w:r>
          </w:p>
        </w:tc>
        <w:tc>
          <w:tcPr>
            <w:tcW w:type="dxa" w:w="5700"/>
            <w:shd w:fill="F4F6F8" w:val="clear"/>
            <w:tcMar>
              <w:top w:type="dxa" w:w="90"/>
              <w:left w:type="dxa" w:w="120"/>
              <w:bottom w:type="dxa" w:w="90"/>
              <w:right w:type="dxa" w:w="120"/>
            </w:tcMar>
          </w:tcPr>
          <w:p>
            <w:pPr>
              <w:spacing w:after="40"/>
            </w:pPr>
            <w:r>
              <w:rPr>
                <w:sz w:val="20"/>
                <w:szCs w:val="20"/>
              </w:rPr>
              <w:t xml:space="preserve">Card internal padding (small), gap between meta items</w:t>
            </w:r>
          </w:p>
        </w:tc>
      </w:tr>
      <w:tr>
        <w:trPr>
          <w:cantSplit/>
        </w:trPr>
        <w:tc>
          <w:tcPr>
            <w:tcW w:type="dxa" w:w="1800"/>
            <w:shd w:fill="FFFFFF" w:val="clear"/>
            <w:tcMar>
              <w:top w:type="dxa" w:w="90"/>
              <w:left w:type="dxa" w:w="120"/>
              <w:bottom w:type="dxa" w:w="90"/>
              <w:right w:type="dxa" w:w="120"/>
            </w:tcMar>
          </w:tcPr>
          <w:p>
            <w:pPr>
              <w:spacing w:after="40"/>
            </w:pPr>
            <w:r>
              <w:rPr>
                <w:sz w:val="20"/>
                <w:szCs w:val="20"/>
              </w:rPr>
              <w:t xml:space="preserve">space-3</w:t>
            </w:r>
          </w:p>
        </w:tc>
        <w:tc>
          <w:tcPr>
            <w:tcW w:type="dxa" w:w="1500"/>
            <w:shd w:fill="FFFFFF" w:val="clear"/>
            <w:tcMar>
              <w:top w:type="dxa" w:w="90"/>
              <w:left w:type="dxa" w:w="120"/>
              <w:bottom w:type="dxa" w:w="90"/>
              <w:right w:type="dxa" w:w="120"/>
            </w:tcMar>
          </w:tcPr>
          <w:p>
            <w:pPr>
              <w:spacing w:after="40"/>
            </w:pPr>
            <w:r>
              <w:rPr>
                <w:sz w:val="20"/>
                <w:szCs w:val="20"/>
              </w:rPr>
              <w:t xml:space="preserve">24px</w:t>
            </w:r>
          </w:p>
        </w:tc>
        <w:tc>
          <w:tcPr>
            <w:tcW w:type="dxa" w:w="5700"/>
            <w:shd w:fill="FFFFFF" w:val="clear"/>
            <w:tcMar>
              <w:top w:type="dxa" w:w="90"/>
              <w:left w:type="dxa" w:w="120"/>
              <w:bottom w:type="dxa" w:w="90"/>
              <w:right w:type="dxa" w:w="120"/>
            </w:tcMar>
          </w:tcPr>
          <w:p>
            <w:pPr>
              <w:spacing w:after="40"/>
            </w:pPr>
            <w:r>
              <w:rPr>
                <w:sz w:val="20"/>
                <w:szCs w:val="20"/>
              </w:rPr>
              <w:t xml:space="preserve">Default card padding, gap between grid items</w:t>
            </w:r>
          </w:p>
        </w:tc>
      </w:tr>
      <w:tr>
        <w:trPr>
          <w:cantSplit/>
        </w:trPr>
        <w:tc>
          <w:tcPr>
            <w:tcW w:type="dxa" w:w="1800"/>
            <w:shd w:fill="F4F6F8" w:val="clear"/>
            <w:tcMar>
              <w:top w:type="dxa" w:w="90"/>
              <w:left w:type="dxa" w:w="120"/>
              <w:bottom w:type="dxa" w:w="90"/>
              <w:right w:type="dxa" w:w="120"/>
            </w:tcMar>
          </w:tcPr>
          <w:p>
            <w:pPr>
              <w:spacing w:after="40"/>
            </w:pPr>
            <w:r>
              <w:rPr>
                <w:sz w:val="20"/>
                <w:szCs w:val="20"/>
              </w:rPr>
              <w:t xml:space="preserve">space-4</w:t>
            </w:r>
          </w:p>
        </w:tc>
        <w:tc>
          <w:tcPr>
            <w:tcW w:type="dxa" w:w="1500"/>
            <w:shd w:fill="F4F6F8" w:val="clear"/>
            <w:tcMar>
              <w:top w:type="dxa" w:w="90"/>
              <w:left w:type="dxa" w:w="120"/>
              <w:bottom w:type="dxa" w:w="90"/>
              <w:right w:type="dxa" w:w="120"/>
            </w:tcMar>
          </w:tcPr>
          <w:p>
            <w:pPr>
              <w:spacing w:after="40"/>
            </w:pPr>
            <w:r>
              <w:rPr>
                <w:sz w:val="20"/>
                <w:szCs w:val="20"/>
              </w:rPr>
              <w:t xml:space="preserve">32px</w:t>
            </w:r>
          </w:p>
        </w:tc>
        <w:tc>
          <w:tcPr>
            <w:tcW w:type="dxa" w:w="5700"/>
            <w:shd w:fill="F4F6F8" w:val="clear"/>
            <w:tcMar>
              <w:top w:type="dxa" w:w="90"/>
              <w:left w:type="dxa" w:w="120"/>
              <w:bottom w:type="dxa" w:w="90"/>
              <w:right w:type="dxa" w:w="120"/>
            </w:tcMar>
          </w:tcPr>
          <w:p>
            <w:pPr>
              <w:spacing w:after="40"/>
            </w:pPr>
            <w:r>
              <w:rPr>
                <w:sz w:val="20"/>
                <w:szCs w:val="20"/>
              </w:rPr>
              <w:t xml:space="preserve">Gap between a heading and its content block</w:t>
            </w:r>
          </w:p>
        </w:tc>
      </w:tr>
      <w:tr>
        <w:trPr>
          <w:cantSplit/>
        </w:trPr>
        <w:tc>
          <w:tcPr>
            <w:tcW w:type="dxa" w:w="1800"/>
            <w:shd w:fill="FFFFFF" w:val="clear"/>
            <w:tcMar>
              <w:top w:type="dxa" w:w="90"/>
              <w:left w:type="dxa" w:w="120"/>
              <w:bottom w:type="dxa" w:w="90"/>
              <w:right w:type="dxa" w:w="120"/>
            </w:tcMar>
          </w:tcPr>
          <w:p>
            <w:pPr>
              <w:spacing w:after="40"/>
            </w:pPr>
            <w:r>
              <w:rPr>
                <w:sz w:val="20"/>
                <w:szCs w:val="20"/>
              </w:rPr>
              <w:t xml:space="preserve">space-5</w:t>
            </w:r>
          </w:p>
        </w:tc>
        <w:tc>
          <w:tcPr>
            <w:tcW w:type="dxa" w:w="1500"/>
            <w:shd w:fill="FFFFFF" w:val="clear"/>
            <w:tcMar>
              <w:top w:type="dxa" w:w="90"/>
              <w:left w:type="dxa" w:w="120"/>
              <w:bottom w:type="dxa" w:w="90"/>
              <w:right w:type="dxa" w:w="120"/>
            </w:tcMar>
          </w:tcPr>
          <w:p>
            <w:pPr>
              <w:spacing w:after="40"/>
            </w:pPr>
            <w:r>
              <w:rPr>
                <w:sz w:val="20"/>
                <w:szCs w:val="20"/>
              </w:rPr>
              <w:t xml:space="preserve">48px</w:t>
            </w:r>
          </w:p>
        </w:tc>
        <w:tc>
          <w:tcPr>
            <w:tcW w:type="dxa" w:w="5700"/>
            <w:shd w:fill="FFFFFF" w:val="clear"/>
            <w:tcMar>
              <w:top w:type="dxa" w:w="90"/>
              <w:left w:type="dxa" w:w="120"/>
              <w:bottom w:type="dxa" w:w="90"/>
              <w:right w:type="dxa" w:w="120"/>
            </w:tcMar>
          </w:tcPr>
          <w:p>
            <w:pPr>
              <w:spacing w:after="40"/>
            </w:pPr>
            <w:r>
              <w:rPr>
                <w:sz w:val="20"/>
                <w:szCs w:val="20"/>
              </w:rPr>
              <w:t xml:space="preserve">Gap between a section's intro and its content grid</w:t>
            </w:r>
          </w:p>
        </w:tc>
      </w:tr>
      <w:tr>
        <w:trPr>
          <w:cantSplit/>
        </w:trPr>
        <w:tc>
          <w:tcPr>
            <w:tcW w:type="dxa" w:w="1800"/>
            <w:shd w:fill="F4F6F8" w:val="clear"/>
            <w:tcMar>
              <w:top w:type="dxa" w:w="90"/>
              <w:left w:type="dxa" w:w="120"/>
              <w:bottom w:type="dxa" w:w="90"/>
              <w:right w:type="dxa" w:w="120"/>
            </w:tcMar>
          </w:tcPr>
          <w:p>
            <w:pPr>
              <w:spacing w:after="40"/>
            </w:pPr>
            <w:r>
              <w:rPr>
                <w:sz w:val="20"/>
                <w:szCs w:val="20"/>
              </w:rPr>
              <w:t xml:space="preserve">space-6</w:t>
            </w:r>
          </w:p>
        </w:tc>
        <w:tc>
          <w:tcPr>
            <w:tcW w:type="dxa" w:w="1500"/>
            <w:shd w:fill="F4F6F8" w:val="clear"/>
            <w:tcMar>
              <w:top w:type="dxa" w:w="90"/>
              <w:left w:type="dxa" w:w="120"/>
              <w:bottom w:type="dxa" w:w="90"/>
              <w:right w:type="dxa" w:w="120"/>
            </w:tcMar>
          </w:tcPr>
          <w:p>
            <w:pPr>
              <w:spacing w:after="40"/>
            </w:pPr>
            <w:r>
              <w:rPr>
                <w:sz w:val="20"/>
                <w:szCs w:val="20"/>
              </w:rPr>
              <w:t xml:space="preserve">80px</w:t>
            </w:r>
          </w:p>
        </w:tc>
        <w:tc>
          <w:tcPr>
            <w:tcW w:type="dxa" w:w="5700"/>
            <w:shd w:fill="F4F6F8" w:val="clear"/>
            <w:tcMar>
              <w:top w:type="dxa" w:w="90"/>
              <w:left w:type="dxa" w:w="120"/>
              <w:bottom w:type="dxa" w:w="90"/>
              <w:right w:type="dxa" w:w="120"/>
            </w:tcMar>
          </w:tcPr>
          <w:p>
            <w:pPr>
              <w:spacing w:after="40"/>
            </w:pPr>
            <w:r>
              <w:rPr>
                <w:sz w:val="20"/>
                <w:szCs w:val="20"/>
              </w:rPr>
              <w:t xml:space="preserve">Vertical padding between major page sections (desktop)</w:t>
            </w:r>
          </w:p>
        </w:tc>
      </w:tr>
      <w:tr>
        <w:trPr>
          <w:cantSplit/>
        </w:trPr>
        <w:tc>
          <w:tcPr>
            <w:tcW w:type="dxa" w:w="1800"/>
            <w:shd w:fill="FFFFFF" w:val="clear"/>
            <w:tcMar>
              <w:top w:type="dxa" w:w="90"/>
              <w:left w:type="dxa" w:w="120"/>
              <w:bottom w:type="dxa" w:w="90"/>
              <w:right w:type="dxa" w:w="120"/>
            </w:tcMar>
          </w:tcPr>
          <w:p>
            <w:pPr>
              <w:spacing w:after="40"/>
            </w:pPr>
            <w:r>
              <w:rPr>
                <w:sz w:val="20"/>
                <w:szCs w:val="20"/>
              </w:rPr>
              <w:t xml:space="preserve">space-7</w:t>
            </w:r>
          </w:p>
        </w:tc>
        <w:tc>
          <w:tcPr>
            <w:tcW w:type="dxa" w:w="1500"/>
            <w:shd w:fill="FFFFFF" w:val="clear"/>
            <w:tcMar>
              <w:top w:type="dxa" w:w="90"/>
              <w:left w:type="dxa" w:w="120"/>
              <w:bottom w:type="dxa" w:w="90"/>
              <w:right w:type="dxa" w:w="120"/>
            </w:tcMar>
          </w:tcPr>
          <w:p>
            <w:pPr>
              <w:spacing w:after="40"/>
            </w:pPr>
            <w:r>
              <w:rPr>
                <w:sz w:val="20"/>
                <w:szCs w:val="20"/>
              </w:rPr>
              <w:t xml:space="preserve">120px</w:t>
            </w:r>
          </w:p>
        </w:tc>
        <w:tc>
          <w:tcPr>
            <w:tcW w:type="dxa" w:w="5700"/>
            <w:shd w:fill="FFFFFF" w:val="clear"/>
            <w:tcMar>
              <w:top w:type="dxa" w:w="90"/>
              <w:left w:type="dxa" w:w="120"/>
              <w:bottom w:type="dxa" w:w="90"/>
              <w:right w:type="dxa" w:w="120"/>
            </w:tcMar>
          </w:tcPr>
          <w:p>
            <w:pPr>
              <w:spacing w:after="40"/>
            </w:pPr>
            <w:r>
              <w:rPr>
                <w:sz w:val="20"/>
                <w:szCs w:val="20"/>
              </w:rPr>
              <w:t xml:space="preserve">Vertical padding around the Hero and Final CTA (desktop)</w:t>
            </w:r>
          </w:p>
        </w:tc>
      </w:tr>
    </w:tbl>
    <w:p>
      <w:pPr>
        <w:spacing w:after="160" w:line="288"/>
      </w:pPr>
      <w:r>
        <w:t xml:space="preserve">Mobile: halve space-6 and space-7 (40px / 60px) to keep the page from feeling sparse on small viewports; keep space-1 through space-4 unchanged.</w:t>
      </w:r>
    </w:p>
    <w:p>
      <w:pPr>
        <w:pStyle w:val="Heading3"/>
      </w:pPr>
      <w:r>
        <w:t xml:space="preserve">Grid System</w:t>
      </w:r>
    </w:p>
    <w:p>
      <w:pPr>
        <w:pStyle w:val="ListParagraph"/>
        <w:numPr>
          <w:ilvl w:val="0"/>
          <w:numId w:val="2"/>
        </w:numPr>
        <w:spacing w:after="100" w:line="276"/>
      </w:pPr>
      <w:r>
        <w:t xml:space="preserve">Desktop: 12-column grid, max content width 1280px, centered, 32px gutters, 5% (min 24px) outer margin.</w:t>
      </w:r>
    </w:p>
    <w:p>
      <w:pPr>
        <w:pStyle w:val="ListParagraph"/>
        <w:numPr>
          <w:ilvl w:val="0"/>
          <w:numId w:val="2"/>
        </w:numPr>
        <w:spacing w:after="100" w:line="276"/>
      </w:pPr>
      <w:r>
        <w:t xml:space="preserve">Tablet (768–1024px): 8-column grid, 24px gutters, 24px outer margin.</w:t>
      </w:r>
    </w:p>
    <w:p>
      <w:pPr>
        <w:pStyle w:val="ListParagraph"/>
        <w:numPr>
          <w:ilvl w:val="0"/>
          <w:numId w:val="2"/>
        </w:numPr>
        <w:spacing w:after="100" w:line="276"/>
      </w:pPr>
      <w:r>
        <w:t xml:space="preserve">Mobile (&lt;768px): 4-column grid, 16px gutters, 20px outer margin. Section padding collapses per the spacing table above.</w:t>
      </w:r>
    </w:p>
    <w:p>
      <w:pPr>
        <w:pStyle w:val="ListParagraph"/>
        <w:numPr>
          <w:ilvl w:val="0"/>
          <w:numId w:val="2"/>
        </w:numPr>
        <w:spacing w:after="100" w:line="276"/>
      </w:pPr>
      <w:r>
        <w:t xml:space="preserve">Card grids step down predictably: 3-up (desktop) → 2-up (tablet) → 1-up (mobile) for Programs and Mentors; 4-up → 2-up → 1-up for the Metrics Band and Mentor grid where a tighter tile suits it better.</w:t>
      </w:r>
    </w:p>
    <w:p>
      <w:pPr>
        <w:pStyle w:val="Heading2"/>
      </w:pPr>
      <w:r>
        <w:t xml:space="preserve">Component Specifications</w:t>
      </w:r>
    </w:p>
    <w:p>
      <w:pPr>
        <w:pStyle w:val="Heading3"/>
      </w:pPr>
      <w:r>
        <w:t xml:space="preserve">Cards</w:t>
      </w:r>
    </w:p>
    <w:p>
      <w:pPr>
        <w:tabs>
          <w:tab w:val="left" w:pos="2200"/>
        </w:tabs>
        <w:spacing w:after="80"/>
      </w:pPr>
      <w:r>
        <w:rPr>
          <w:b/>
          <w:bCs/>
          <w:sz w:val="21"/>
          <w:szCs w:val="21"/>
        </w:rPr>
        <w:t xml:space="preserve">Corner radius:</w:t>
      </w:r>
      <w:r>
        <w:rPr>
          <w:sz w:val="21"/>
          <w:szCs w:val="21"/>
        </w:rPr>
        <w:t xml:space="preserve">	10px (standard cards) · 4px (table cells, tags) · 999px (pill tags only, e.g. domain labels).</w:t>
      </w:r>
    </w:p>
    <w:p>
      <w:pPr>
        <w:tabs>
          <w:tab w:val="left" w:pos="2200"/>
        </w:tabs>
        <w:spacing w:after="80"/>
      </w:pPr>
      <w:r>
        <w:rPr>
          <w:b/>
          <w:bCs/>
          <w:sz w:val="21"/>
          <w:szCs w:val="21"/>
        </w:rPr>
        <w:t xml:space="preserve">Border:</w:t>
      </w:r>
      <w:r>
        <w:rPr>
          <w:sz w:val="21"/>
          <w:szCs w:val="21"/>
        </w:rPr>
        <w:t xml:space="preserve">	1px solid #D8DEE6, no border at all on the dark-navy stat tiles (separated by spacing alone).</w:t>
      </w:r>
    </w:p>
    <w:p>
      <w:pPr>
        <w:tabs>
          <w:tab w:val="left" w:pos="2200"/>
        </w:tabs>
        <w:spacing w:after="80"/>
      </w:pPr>
      <w:r>
        <w:rPr>
          <w:b/>
          <w:bCs/>
          <w:sz w:val="21"/>
          <w:szCs w:val="21"/>
        </w:rPr>
        <w:t xml:space="preserve">Shadow (rest):</w:t>
      </w:r>
      <w:r>
        <w:rPr>
          <w:sz w:val="21"/>
          <w:szCs w:val="21"/>
        </w:rPr>
        <w:t xml:space="preserve">	none — flat by default, consistent with the brief's restraint principle.</w:t>
      </w:r>
    </w:p>
    <w:p>
      <w:pPr>
        <w:tabs>
          <w:tab w:val="left" w:pos="2200"/>
        </w:tabs>
        <w:spacing w:after="80"/>
      </w:pPr>
      <w:r>
        <w:rPr>
          <w:b/>
          <w:bCs/>
          <w:sz w:val="21"/>
          <w:szCs w:val="21"/>
        </w:rPr>
        <w:t xml:space="preserve">Shadow (hover):</w:t>
      </w:r>
      <w:r>
        <w:rPr>
          <w:sz w:val="21"/>
          <w:szCs w:val="21"/>
        </w:rPr>
        <w:t xml:space="preserve">	0px 12px 24px rgba(11,27,51,0.08) — soft, navy-tinted, never black, paired with a 2px upward translate.</w:t>
      </w:r>
    </w:p>
    <w:p>
      <w:pPr>
        <w:tabs>
          <w:tab w:val="left" w:pos="2200"/>
        </w:tabs>
        <w:spacing w:after="80"/>
      </w:pPr>
      <w:r>
        <w:rPr>
          <w:b/>
          <w:bCs/>
          <w:sz w:val="21"/>
          <w:szCs w:val="21"/>
        </w:rPr>
        <w:t xml:space="preserve">Padding:</w:t>
      </w:r>
      <w:r>
        <w:rPr>
          <w:sz w:val="21"/>
          <w:szCs w:val="21"/>
        </w:rPr>
        <w:t xml:space="preserve">	32px desktop / 24px mobile, internal content uses space-2 (16px) between elements.</w:t>
      </w:r>
    </w:p>
    <w:p>
      <w:pPr>
        <w:pStyle w:val="Heading3"/>
      </w:pPr>
      <w:r>
        <w:t xml:space="preserve">Buttons</w:t>
      </w:r>
    </w:p>
    <w:p>
      <w:pPr>
        <w:tabs>
          <w:tab w:val="left" w:pos="2200"/>
        </w:tabs>
        <w:spacing w:after="80"/>
      </w:pPr>
      <w:r>
        <w:rPr>
          <w:b/>
          <w:bCs/>
          <w:sz w:val="21"/>
          <w:szCs w:val="21"/>
        </w:rPr>
        <w:t xml:space="preserve">Primary (solid):</w:t>
      </w:r>
      <w:r>
        <w:rPr>
          <w:sz w:val="21"/>
          <w:szCs w:val="21"/>
        </w:rPr>
        <w:t xml:space="preserve">	Fill #C8962C, text #FAF8F3, 8px radius, 14px/28px (vertical/horizontal) padding, hover fill #A87A1E, no shadow, 150ms ease transition.</w:t>
      </w:r>
    </w:p>
    <w:p>
      <w:pPr>
        <w:tabs>
          <w:tab w:val="left" w:pos="2200"/>
        </w:tabs>
        <w:spacing w:after="80"/>
      </w:pPr>
      <w:r>
        <w:rPr>
          <w:b/>
          <w:bCs/>
          <w:sz w:val="21"/>
          <w:szCs w:val="21"/>
        </w:rPr>
        <w:t xml:space="preserve">Secondary (ghost):</w:t>
      </w:r>
      <w:r>
        <w:rPr>
          <w:sz w:val="21"/>
          <w:szCs w:val="21"/>
        </w:rPr>
        <w:t xml:space="preserve">	Transparent fill, 1px border #0B1B33 (or #FAF8F3 on dark sections), text matches border color, hover fills 8% navy tint.</w:t>
      </w:r>
    </w:p>
    <w:p>
      <w:pPr>
        <w:tabs>
          <w:tab w:val="left" w:pos="2200"/>
        </w:tabs>
        <w:spacing w:after="80"/>
      </w:pPr>
      <w:r>
        <w:rPr>
          <w:b/>
          <w:bCs/>
          <w:sz w:val="21"/>
          <w:szCs w:val="21"/>
        </w:rPr>
        <w:t xml:space="preserve">Text link / tertiary:</w:t>
      </w:r>
      <w:r>
        <w:rPr>
          <w:sz w:val="21"/>
          <w:szCs w:val="21"/>
        </w:rPr>
        <w:t xml:space="preserve">	No border or fill, navy text, gold underline on hover, used for the Path Finder section's 'see programs' links.</w:t>
      </w:r>
    </w:p>
    <w:p>
      <w:pPr>
        <w:tabs>
          <w:tab w:val="left" w:pos="2200"/>
        </w:tabs>
        <w:spacing w:after="80"/>
      </w:pPr>
      <w:r>
        <w:rPr>
          <w:b/>
          <w:bCs/>
          <w:sz w:val="21"/>
          <w:szCs w:val="21"/>
        </w:rPr>
        <w:t xml:space="preserve">Sizing:</w:t>
      </w:r>
      <w:r>
        <w:rPr>
          <w:sz w:val="21"/>
          <w:szCs w:val="21"/>
        </w:rPr>
        <w:t xml:space="preserve">	Default height 48px desktop / 44px mobile — never below 44px for tap-target accessibility.</w:t>
      </w:r>
    </w:p>
    <w:p>
      <w:pPr>
        <w:pStyle w:val="Heading3"/>
      </w:pPr>
      <w:r>
        <w:t xml:space="preserve">Badges &amp; Tags</w:t>
      </w:r>
    </w:p>
    <w:p>
      <w:pPr>
        <w:tabs>
          <w:tab w:val="left" w:pos="2200"/>
        </w:tabs>
        <w:spacing w:after="80"/>
      </w:pPr>
      <w:r>
        <w:rPr>
          <w:b/>
          <w:bCs/>
          <w:sz w:val="21"/>
          <w:szCs w:val="21"/>
        </w:rPr>
        <w:t xml:space="preserve">‘Most Chosen’ tag:</w:t>
      </w:r>
      <w:r>
        <w:rPr>
          <w:sz w:val="21"/>
          <w:szCs w:val="21"/>
        </w:rPr>
        <w:t xml:space="preserve">	Gold-tint background (#F4E9D8), gold text (#A87A1E), 4px radius, 11px uppercase, +0.06em tracking.</w:t>
      </w:r>
    </w:p>
    <w:p>
      <w:pPr>
        <w:tabs>
          <w:tab w:val="left" w:pos="2200"/>
        </w:tabs>
        <w:spacing w:after="80"/>
      </w:pPr>
      <w:r>
        <w:rPr>
          <w:b/>
          <w:bCs/>
          <w:sz w:val="21"/>
          <w:szCs w:val="21"/>
        </w:rPr>
        <w:t xml:space="preserve">Domain tag (mentor cards):</w:t>
      </w:r>
      <w:r>
        <w:rPr>
          <w:sz w:val="21"/>
          <w:szCs w:val="21"/>
        </w:rPr>
        <w:t xml:space="preserve">	Outlined pill, 1px navy border at 30% opacity, navy text, 999px radius — the one approved soft-pill use case.</w:t>
      </w:r>
    </w:p>
    <w:p>
      <w:pPr>
        <w:tabs>
          <w:tab w:val="left" w:pos="2200"/>
        </w:tabs>
        <w:spacing w:after="80"/>
      </w:pPr>
      <w:r>
        <w:rPr>
          <w:b/>
          <w:bCs/>
          <w:sz w:val="21"/>
          <w:szCs w:val="21"/>
        </w:rPr>
        <w:t xml:space="preserve">Verified Outcome tag:</w:t>
      </w:r>
      <w:r>
        <w:rPr>
          <w:sz w:val="21"/>
          <w:szCs w:val="21"/>
        </w:rPr>
        <w:t xml:space="preserve">	Forest green text/border (#1E5C4A) on a very pale green tint, used only on testimonial outcome badges.</w:t>
      </w:r>
    </w:p>
    <w:p>
      <w:pPr>
        <w:pStyle w:val="Heading3"/>
      </w:pPr>
      <w:r>
        <w:t xml:space="preserve">Icons</w:t>
      </w:r>
    </w:p>
    <w:p>
      <w:pPr>
        <w:pStyle w:val="ListParagraph"/>
        <w:numPr>
          <w:ilvl w:val="0"/>
          <w:numId w:val="2"/>
        </w:numPr>
        <w:spacing w:after="100" w:line="276"/>
      </w:pPr>
      <w:r>
        <w:t xml:space="preserve">Line-style icon set only (e.g. Lucide/Feather-class, 1.5px stroke) — no filled, no 3D, no duotone, no illustrated icon badges floating on photos.</w:t>
      </w:r>
    </w:p>
    <w:p>
      <w:pPr>
        <w:pStyle w:val="ListParagraph"/>
        <w:numPr>
          <w:ilvl w:val="0"/>
          <w:numId w:val="2"/>
        </w:numPr>
        <w:spacing w:after="100" w:line="276"/>
      </w:pPr>
      <w:r>
        <w:t xml:space="preserve">Icons appear only where they aid scanning (meta rows: duration/format icons; FAQ chevrons; comparison table checkmarks) — never as decorative section headers.</w:t>
      </w:r>
    </w:p>
    <w:p>
      <w:pPr>
        <w:pStyle w:val="ListParagraph"/>
        <w:numPr>
          <w:ilvl w:val="0"/>
          <w:numId w:val="2"/>
        </w:numPr>
        <w:spacing w:after="100" w:line="276"/>
      </w:pPr>
      <w:r>
        <w:t xml:space="preserve">Icon color is always Navy or Slate; Gold is reserved for type and button fills, not icon strokes, to protect the 5% accent budget.</w:t>
      </w:r>
    </w:p>
    <w:p>
      <w:pPr>
        <w:pStyle w:val="Heading3"/>
      </w:pPr>
      <w:r>
        <w:t xml:space="preserve">Shadows (full token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rPr>
          <w:tblHeader/>
        </w:trPr>
        <w:tc>
          <w:tcPr>
            <w:tcW w:type="dxa" w:w="18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Token</w:t>
            </w:r>
          </w:p>
        </w:tc>
        <w:tc>
          <w:tcPr>
            <w:tcW w:type="dxa" w:w="42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Value</w:t>
            </w:r>
          </w:p>
        </w:tc>
        <w:tc>
          <w:tcPr>
            <w:tcW w:type="dxa" w:w="30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Usage</w:t>
            </w:r>
          </w:p>
        </w:tc>
      </w:tr>
      <w:tr>
        <w:trPr>
          <w:cantSplit/>
        </w:trPr>
        <w:tc>
          <w:tcPr>
            <w:tcW w:type="dxa" w:w="1800"/>
            <w:shd w:fill="FFFFFF" w:val="clear"/>
            <w:tcMar>
              <w:top w:type="dxa" w:w="90"/>
              <w:left w:type="dxa" w:w="120"/>
              <w:bottom w:type="dxa" w:w="90"/>
              <w:right w:type="dxa" w:w="120"/>
            </w:tcMar>
          </w:tcPr>
          <w:p>
            <w:pPr>
              <w:spacing w:after="40"/>
            </w:pPr>
            <w:r>
              <w:rPr>
                <w:sz w:val="20"/>
                <w:szCs w:val="20"/>
              </w:rPr>
              <w:t xml:space="preserve">shadow-none</w:t>
            </w:r>
          </w:p>
        </w:tc>
        <w:tc>
          <w:tcPr>
            <w:tcW w:type="dxa" w:w="4200"/>
            <w:shd w:fill="FFFFFF" w:val="clear"/>
            <w:tcMar>
              <w:top w:type="dxa" w:w="90"/>
              <w:left w:type="dxa" w:w="120"/>
              <w:bottom w:type="dxa" w:w="90"/>
              <w:right w:type="dxa" w:w="120"/>
            </w:tcMar>
          </w:tcPr>
          <w:p>
            <w:pPr>
              <w:spacing w:after="40"/>
            </w:pPr>
            <w:r>
              <w:rPr>
                <w:sz w:val="20"/>
                <w:szCs w:val="20"/>
              </w:rPr>
              <w:t xml:space="preserve">none</w:t>
            </w:r>
          </w:p>
        </w:tc>
        <w:tc>
          <w:tcPr>
            <w:tcW w:type="dxa" w:w="3000"/>
            <w:shd w:fill="FFFFFF" w:val="clear"/>
            <w:tcMar>
              <w:top w:type="dxa" w:w="90"/>
              <w:left w:type="dxa" w:w="120"/>
              <w:bottom w:type="dxa" w:w="90"/>
              <w:right w:type="dxa" w:w="120"/>
            </w:tcMar>
          </w:tcPr>
          <w:p>
            <w:pPr>
              <w:spacing w:after="40"/>
            </w:pPr>
            <w:r>
              <w:rPr>
                <w:sz w:val="20"/>
                <w:szCs w:val="20"/>
              </w:rPr>
              <w:t xml:space="preserve">Default card, button, table state</w:t>
            </w:r>
          </w:p>
        </w:tc>
      </w:tr>
      <w:tr>
        <w:trPr>
          <w:cantSplit/>
        </w:trPr>
        <w:tc>
          <w:tcPr>
            <w:tcW w:type="dxa" w:w="1800"/>
            <w:shd w:fill="F4F6F8" w:val="clear"/>
            <w:tcMar>
              <w:top w:type="dxa" w:w="90"/>
              <w:left w:type="dxa" w:w="120"/>
              <w:bottom w:type="dxa" w:w="90"/>
              <w:right w:type="dxa" w:w="120"/>
            </w:tcMar>
          </w:tcPr>
          <w:p>
            <w:pPr>
              <w:spacing w:after="40"/>
            </w:pPr>
            <w:r>
              <w:rPr>
                <w:sz w:val="20"/>
                <w:szCs w:val="20"/>
              </w:rPr>
              <w:t xml:space="preserve">shadow-sm</w:t>
            </w:r>
          </w:p>
        </w:tc>
        <w:tc>
          <w:tcPr>
            <w:tcW w:type="dxa" w:w="4200"/>
            <w:shd w:fill="F4F6F8" w:val="clear"/>
            <w:tcMar>
              <w:top w:type="dxa" w:w="90"/>
              <w:left w:type="dxa" w:w="120"/>
              <w:bottom w:type="dxa" w:w="90"/>
              <w:right w:type="dxa" w:w="120"/>
            </w:tcMar>
          </w:tcPr>
          <w:p>
            <w:pPr>
              <w:spacing w:after="40"/>
            </w:pPr>
            <w:r>
              <w:rPr>
                <w:sz w:val="20"/>
                <w:szCs w:val="20"/>
              </w:rPr>
              <w:t xml:space="preserve">0px 2px 6px rgba(11,27,51,0.06)</w:t>
            </w:r>
          </w:p>
        </w:tc>
        <w:tc>
          <w:tcPr>
            <w:tcW w:type="dxa" w:w="3000"/>
            <w:shd w:fill="F4F6F8" w:val="clear"/>
            <w:tcMar>
              <w:top w:type="dxa" w:w="90"/>
              <w:left w:type="dxa" w:w="120"/>
              <w:bottom w:type="dxa" w:w="90"/>
              <w:right w:type="dxa" w:w="120"/>
            </w:tcMar>
          </w:tcPr>
          <w:p>
            <w:pPr>
              <w:spacing w:after="40"/>
            </w:pPr>
            <w:r>
              <w:rPr>
                <w:sz w:val="20"/>
                <w:szCs w:val="20"/>
              </w:rPr>
              <w:t xml:space="preserve">Sticky nav bar once scrolled</w:t>
            </w:r>
          </w:p>
        </w:tc>
      </w:tr>
      <w:tr>
        <w:trPr>
          <w:cantSplit/>
        </w:trPr>
        <w:tc>
          <w:tcPr>
            <w:tcW w:type="dxa" w:w="1800"/>
            <w:shd w:fill="FFFFFF" w:val="clear"/>
            <w:tcMar>
              <w:top w:type="dxa" w:w="90"/>
              <w:left w:type="dxa" w:w="120"/>
              <w:bottom w:type="dxa" w:w="90"/>
              <w:right w:type="dxa" w:w="120"/>
            </w:tcMar>
          </w:tcPr>
          <w:p>
            <w:pPr>
              <w:spacing w:after="40"/>
            </w:pPr>
            <w:r>
              <w:rPr>
                <w:sz w:val="20"/>
                <w:szCs w:val="20"/>
              </w:rPr>
              <w:t xml:space="preserve">shadow-md</w:t>
            </w:r>
          </w:p>
        </w:tc>
        <w:tc>
          <w:tcPr>
            <w:tcW w:type="dxa" w:w="4200"/>
            <w:shd w:fill="FFFFFF" w:val="clear"/>
            <w:tcMar>
              <w:top w:type="dxa" w:w="90"/>
              <w:left w:type="dxa" w:w="120"/>
              <w:bottom w:type="dxa" w:w="90"/>
              <w:right w:type="dxa" w:w="120"/>
            </w:tcMar>
          </w:tcPr>
          <w:p>
            <w:pPr>
              <w:spacing w:after="40"/>
            </w:pPr>
            <w:r>
              <w:rPr>
                <w:sz w:val="20"/>
                <w:szCs w:val="20"/>
              </w:rPr>
              <w:t xml:space="preserve">0px 12px 24px rgba(11,27,51,0.08)</w:t>
            </w:r>
          </w:p>
        </w:tc>
        <w:tc>
          <w:tcPr>
            <w:tcW w:type="dxa" w:w="3000"/>
            <w:shd w:fill="FFFFFF" w:val="clear"/>
            <w:tcMar>
              <w:top w:type="dxa" w:w="90"/>
              <w:left w:type="dxa" w:w="120"/>
              <w:bottom w:type="dxa" w:w="90"/>
              <w:right w:type="dxa" w:w="120"/>
            </w:tcMar>
          </w:tcPr>
          <w:p>
            <w:pPr>
              <w:spacing w:after="40"/>
            </w:pPr>
            <w:r>
              <w:rPr>
                <w:sz w:val="20"/>
                <w:szCs w:val="20"/>
              </w:rPr>
              <w:t xml:space="preserve">Card hover state</w:t>
            </w:r>
          </w:p>
        </w:tc>
      </w:tr>
      <w:tr>
        <w:trPr>
          <w:cantSplit/>
        </w:trPr>
        <w:tc>
          <w:tcPr>
            <w:tcW w:type="dxa" w:w="1800"/>
            <w:shd w:fill="F4F6F8" w:val="clear"/>
            <w:tcMar>
              <w:top w:type="dxa" w:w="90"/>
              <w:left w:type="dxa" w:w="120"/>
              <w:bottom w:type="dxa" w:w="90"/>
              <w:right w:type="dxa" w:w="120"/>
            </w:tcMar>
          </w:tcPr>
          <w:p>
            <w:pPr>
              <w:spacing w:after="40"/>
            </w:pPr>
            <w:r>
              <w:rPr>
                <w:sz w:val="20"/>
                <w:szCs w:val="20"/>
              </w:rPr>
              <w:t xml:space="preserve">shadow-lg</w:t>
            </w:r>
          </w:p>
        </w:tc>
        <w:tc>
          <w:tcPr>
            <w:tcW w:type="dxa" w:w="4200"/>
            <w:shd w:fill="F4F6F8" w:val="clear"/>
            <w:tcMar>
              <w:top w:type="dxa" w:w="90"/>
              <w:left w:type="dxa" w:w="120"/>
              <w:bottom w:type="dxa" w:w="90"/>
              <w:right w:type="dxa" w:w="120"/>
            </w:tcMar>
          </w:tcPr>
          <w:p>
            <w:pPr>
              <w:spacing w:after="40"/>
            </w:pPr>
            <w:r>
              <w:rPr>
                <w:sz w:val="20"/>
                <w:szCs w:val="20"/>
              </w:rPr>
              <w:t xml:space="preserve">0px 24px 48px rgba(11,27,51,0.12)</w:t>
            </w:r>
          </w:p>
        </w:tc>
        <w:tc>
          <w:tcPr>
            <w:tcW w:type="dxa" w:w="3000"/>
            <w:shd w:fill="F4F6F8" w:val="clear"/>
            <w:tcMar>
              <w:top w:type="dxa" w:w="90"/>
              <w:left w:type="dxa" w:w="120"/>
              <w:bottom w:type="dxa" w:w="90"/>
              <w:right w:type="dxa" w:w="120"/>
            </w:tcMar>
          </w:tcPr>
          <w:p>
            <w:pPr>
              <w:spacing w:after="40"/>
            </w:pPr>
            <w:r>
              <w:rPr>
                <w:sz w:val="20"/>
                <w:szCs w:val="20"/>
              </w:rPr>
              <w:t xml:space="preserve">Modal or expanded mobile filter sheet only</w:t>
            </w:r>
          </w:p>
        </w:tc>
      </w:tr>
    </w:tbl>
    <w:p>
      <w:pPr>
        <w:pStyle w:val="Heading3"/>
      </w:pPr>
      <w:r>
        <w:t xml:space="preserve">Border Radius (full token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500"/>
      </w:tblGrid>
      <w:tr>
        <w:trPr>
          <w:tblHeader/>
        </w:trPr>
        <w:tc>
          <w:tcPr>
            <w:tcW w:type="dxa" w:w="18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Token</w:t>
            </w:r>
          </w:p>
        </w:tc>
        <w:tc>
          <w:tcPr>
            <w:tcW w:type="dxa" w:w="17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Value</w:t>
            </w:r>
          </w:p>
        </w:tc>
        <w:tc>
          <w:tcPr>
            <w:tcW w:type="dxa" w:w="55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Usage</w:t>
            </w:r>
          </w:p>
        </w:tc>
      </w:tr>
      <w:tr>
        <w:trPr>
          <w:cantSplit/>
        </w:trPr>
        <w:tc>
          <w:tcPr>
            <w:tcW w:type="dxa" w:w="1800"/>
            <w:shd w:fill="FFFFFF" w:val="clear"/>
            <w:tcMar>
              <w:top w:type="dxa" w:w="90"/>
              <w:left w:type="dxa" w:w="120"/>
              <w:bottom w:type="dxa" w:w="90"/>
              <w:right w:type="dxa" w:w="120"/>
            </w:tcMar>
          </w:tcPr>
          <w:p>
            <w:pPr>
              <w:spacing w:after="40"/>
            </w:pPr>
            <w:r>
              <w:rPr>
                <w:sz w:val="20"/>
                <w:szCs w:val="20"/>
              </w:rPr>
              <w:t xml:space="preserve">radius-xs</w:t>
            </w:r>
          </w:p>
        </w:tc>
        <w:tc>
          <w:tcPr>
            <w:tcW w:type="dxa" w:w="1700"/>
            <w:shd w:fill="FFFFFF" w:val="clear"/>
            <w:tcMar>
              <w:top w:type="dxa" w:w="90"/>
              <w:left w:type="dxa" w:w="120"/>
              <w:bottom w:type="dxa" w:w="90"/>
              <w:right w:type="dxa" w:w="120"/>
            </w:tcMar>
          </w:tcPr>
          <w:p>
            <w:pPr>
              <w:spacing w:after="40"/>
            </w:pPr>
            <w:r>
              <w:rPr>
                <w:sz w:val="20"/>
                <w:szCs w:val="20"/>
              </w:rPr>
              <w:t xml:space="preserve">4px</w:t>
            </w:r>
          </w:p>
        </w:tc>
        <w:tc>
          <w:tcPr>
            <w:tcW w:type="dxa" w:w="5500"/>
            <w:shd w:fill="FFFFFF" w:val="clear"/>
            <w:tcMar>
              <w:top w:type="dxa" w:w="90"/>
              <w:left w:type="dxa" w:w="120"/>
              <w:bottom w:type="dxa" w:w="90"/>
              <w:right w:type="dxa" w:w="120"/>
            </w:tcMar>
          </w:tcPr>
          <w:p>
            <w:pPr>
              <w:spacing w:after="40"/>
            </w:pPr>
            <w:r>
              <w:rPr>
                <w:sz w:val="20"/>
                <w:szCs w:val="20"/>
              </w:rPr>
              <w:t xml:space="preserve">Tags, table cells, small badges</w:t>
            </w:r>
          </w:p>
        </w:tc>
      </w:tr>
      <w:tr>
        <w:trPr>
          <w:cantSplit/>
        </w:trPr>
        <w:tc>
          <w:tcPr>
            <w:tcW w:type="dxa" w:w="1800"/>
            <w:shd w:fill="F4F6F8" w:val="clear"/>
            <w:tcMar>
              <w:top w:type="dxa" w:w="90"/>
              <w:left w:type="dxa" w:w="120"/>
              <w:bottom w:type="dxa" w:w="90"/>
              <w:right w:type="dxa" w:w="120"/>
            </w:tcMar>
          </w:tcPr>
          <w:p>
            <w:pPr>
              <w:spacing w:after="40"/>
            </w:pPr>
            <w:r>
              <w:rPr>
                <w:sz w:val="20"/>
                <w:szCs w:val="20"/>
              </w:rPr>
              <w:t xml:space="preserve">radius-sm</w:t>
            </w:r>
          </w:p>
        </w:tc>
        <w:tc>
          <w:tcPr>
            <w:tcW w:type="dxa" w:w="1700"/>
            <w:shd w:fill="F4F6F8" w:val="clear"/>
            <w:tcMar>
              <w:top w:type="dxa" w:w="90"/>
              <w:left w:type="dxa" w:w="120"/>
              <w:bottom w:type="dxa" w:w="90"/>
              <w:right w:type="dxa" w:w="120"/>
            </w:tcMar>
          </w:tcPr>
          <w:p>
            <w:pPr>
              <w:spacing w:after="40"/>
            </w:pPr>
            <w:r>
              <w:rPr>
                <w:sz w:val="20"/>
                <w:szCs w:val="20"/>
              </w:rPr>
              <w:t xml:space="preserve">8px</w:t>
            </w:r>
          </w:p>
        </w:tc>
        <w:tc>
          <w:tcPr>
            <w:tcW w:type="dxa" w:w="5500"/>
            <w:shd w:fill="F4F6F8" w:val="clear"/>
            <w:tcMar>
              <w:top w:type="dxa" w:w="90"/>
              <w:left w:type="dxa" w:w="120"/>
              <w:bottom w:type="dxa" w:w="90"/>
              <w:right w:type="dxa" w:w="120"/>
            </w:tcMar>
          </w:tcPr>
          <w:p>
            <w:pPr>
              <w:spacing w:after="40"/>
            </w:pPr>
            <w:r>
              <w:rPr>
                <w:sz w:val="20"/>
                <w:szCs w:val="20"/>
              </w:rPr>
              <w:t xml:space="preserve">Buttons, form inputs</w:t>
            </w:r>
          </w:p>
        </w:tc>
      </w:tr>
      <w:tr>
        <w:trPr>
          <w:cantSplit/>
        </w:trPr>
        <w:tc>
          <w:tcPr>
            <w:tcW w:type="dxa" w:w="1800"/>
            <w:shd w:fill="FFFFFF" w:val="clear"/>
            <w:tcMar>
              <w:top w:type="dxa" w:w="90"/>
              <w:left w:type="dxa" w:w="120"/>
              <w:bottom w:type="dxa" w:w="90"/>
              <w:right w:type="dxa" w:w="120"/>
            </w:tcMar>
          </w:tcPr>
          <w:p>
            <w:pPr>
              <w:spacing w:after="40"/>
            </w:pPr>
            <w:r>
              <w:rPr>
                <w:sz w:val="20"/>
                <w:szCs w:val="20"/>
              </w:rPr>
              <w:t xml:space="preserve">radius-md</w:t>
            </w:r>
          </w:p>
        </w:tc>
        <w:tc>
          <w:tcPr>
            <w:tcW w:type="dxa" w:w="1700"/>
            <w:shd w:fill="FFFFFF" w:val="clear"/>
            <w:tcMar>
              <w:top w:type="dxa" w:w="90"/>
              <w:left w:type="dxa" w:w="120"/>
              <w:bottom w:type="dxa" w:w="90"/>
              <w:right w:type="dxa" w:w="120"/>
            </w:tcMar>
          </w:tcPr>
          <w:p>
            <w:pPr>
              <w:spacing w:after="40"/>
            </w:pPr>
            <w:r>
              <w:rPr>
                <w:sz w:val="20"/>
                <w:szCs w:val="20"/>
              </w:rPr>
              <w:t xml:space="preserve">10px</w:t>
            </w:r>
          </w:p>
        </w:tc>
        <w:tc>
          <w:tcPr>
            <w:tcW w:type="dxa" w:w="5500"/>
            <w:shd w:fill="FFFFFF" w:val="clear"/>
            <w:tcMar>
              <w:top w:type="dxa" w:w="90"/>
              <w:left w:type="dxa" w:w="120"/>
              <w:bottom w:type="dxa" w:w="90"/>
              <w:right w:type="dxa" w:w="120"/>
            </w:tcMar>
          </w:tcPr>
          <w:p>
            <w:pPr>
              <w:spacing w:after="40"/>
            </w:pPr>
            <w:r>
              <w:rPr>
                <w:sz w:val="20"/>
                <w:szCs w:val="20"/>
              </w:rPr>
              <w:t xml:space="preserve">Standard cards</w:t>
            </w:r>
          </w:p>
        </w:tc>
      </w:tr>
      <w:tr>
        <w:trPr>
          <w:cantSplit/>
        </w:trPr>
        <w:tc>
          <w:tcPr>
            <w:tcW w:type="dxa" w:w="1800"/>
            <w:shd w:fill="F4F6F8" w:val="clear"/>
            <w:tcMar>
              <w:top w:type="dxa" w:w="90"/>
              <w:left w:type="dxa" w:w="120"/>
              <w:bottom w:type="dxa" w:w="90"/>
              <w:right w:type="dxa" w:w="120"/>
            </w:tcMar>
          </w:tcPr>
          <w:p>
            <w:pPr>
              <w:spacing w:after="40"/>
            </w:pPr>
            <w:r>
              <w:rPr>
                <w:sz w:val="20"/>
                <w:szCs w:val="20"/>
              </w:rPr>
              <w:t xml:space="preserve">radius-lg</w:t>
            </w:r>
          </w:p>
        </w:tc>
        <w:tc>
          <w:tcPr>
            <w:tcW w:type="dxa" w:w="1700"/>
            <w:shd w:fill="F4F6F8" w:val="clear"/>
            <w:tcMar>
              <w:top w:type="dxa" w:w="90"/>
              <w:left w:type="dxa" w:w="120"/>
              <w:bottom w:type="dxa" w:w="90"/>
              <w:right w:type="dxa" w:w="120"/>
            </w:tcMar>
          </w:tcPr>
          <w:p>
            <w:pPr>
              <w:spacing w:after="40"/>
            </w:pPr>
            <w:r>
              <w:rPr>
                <w:sz w:val="20"/>
                <w:szCs w:val="20"/>
              </w:rPr>
              <w:t xml:space="preserve">16px</w:t>
            </w:r>
          </w:p>
        </w:tc>
        <w:tc>
          <w:tcPr>
            <w:tcW w:type="dxa" w:w="5500"/>
            <w:shd w:fill="F4F6F8" w:val="clear"/>
            <w:tcMar>
              <w:top w:type="dxa" w:w="90"/>
              <w:left w:type="dxa" w:w="120"/>
              <w:bottom w:type="dxa" w:w="90"/>
              <w:right w:type="dxa" w:w="120"/>
            </w:tcMar>
          </w:tcPr>
          <w:p>
            <w:pPr>
              <w:spacing w:after="40"/>
            </w:pPr>
            <w:r>
              <w:rPr>
                <w:sz w:val="20"/>
                <w:szCs w:val="20"/>
              </w:rPr>
              <w:t xml:space="preserve">Large feature panels (e.g. featured testimonial block)</w:t>
            </w:r>
          </w:p>
        </w:tc>
      </w:tr>
      <w:tr>
        <w:trPr>
          <w:cantSplit/>
        </w:trPr>
        <w:tc>
          <w:tcPr>
            <w:tcW w:type="dxa" w:w="1800"/>
            <w:shd w:fill="FFFFFF" w:val="clear"/>
            <w:tcMar>
              <w:top w:type="dxa" w:w="90"/>
              <w:left w:type="dxa" w:w="120"/>
              <w:bottom w:type="dxa" w:w="90"/>
              <w:right w:type="dxa" w:w="120"/>
            </w:tcMar>
          </w:tcPr>
          <w:p>
            <w:pPr>
              <w:spacing w:after="40"/>
            </w:pPr>
            <w:r>
              <w:rPr>
                <w:sz w:val="20"/>
                <w:szCs w:val="20"/>
              </w:rPr>
              <w:t xml:space="preserve">radius-pill</w:t>
            </w:r>
          </w:p>
        </w:tc>
        <w:tc>
          <w:tcPr>
            <w:tcW w:type="dxa" w:w="1700"/>
            <w:shd w:fill="FFFFFF" w:val="clear"/>
            <w:tcMar>
              <w:top w:type="dxa" w:w="90"/>
              <w:left w:type="dxa" w:w="120"/>
              <w:bottom w:type="dxa" w:w="90"/>
              <w:right w:type="dxa" w:w="120"/>
            </w:tcMar>
          </w:tcPr>
          <w:p>
            <w:pPr>
              <w:spacing w:after="40"/>
            </w:pPr>
            <w:r>
              <w:rPr>
                <w:sz w:val="20"/>
                <w:szCs w:val="20"/>
              </w:rPr>
              <w:t xml:space="preserve">999px</w:t>
            </w:r>
          </w:p>
        </w:tc>
        <w:tc>
          <w:tcPr>
            <w:tcW w:type="dxa" w:w="5500"/>
            <w:shd w:fill="FFFFFF" w:val="clear"/>
            <w:tcMar>
              <w:top w:type="dxa" w:w="90"/>
              <w:left w:type="dxa" w:w="120"/>
              <w:bottom w:type="dxa" w:w="90"/>
              <w:right w:type="dxa" w:w="120"/>
            </w:tcMar>
          </w:tcPr>
          <w:p>
            <w:pPr>
              <w:spacing w:after="40"/>
            </w:pPr>
            <w:r>
              <w:rPr>
                <w:sz w:val="20"/>
                <w:szCs w:val="20"/>
              </w:rPr>
              <w:t xml:space="preserve">Domain tags only</w:t>
            </w:r>
          </w:p>
        </w:tc>
      </w:tr>
    </w:tbl>
    <w:p>
      <w:pPr>
        <w:pStyle w:val="Heading2"/>
      </w:pPr>
      <w:r>
        <w:t xml:space="preserve">Design Principles (the five rules that govern every decision)</w:t>
      </w:r>
    </w:p>
    <w:p>
      <w:pPr>
        <w:pStyle w:val="ListParagraph"/>
        <w:numPr>
          <w:ilvl w:val="0"/>
          <w:numId w:val="3"/>
        </w:numPr>
        <w:spacing w:after="100" w:line="276"/>
      </w:pPr>
      <w:r>
        <w:t xml:space="preserve">Restraint reads as expensive. If in doubt, remove an element rather than add one.</w:t>
      </w:r>
    </w:p>
    <w:p>
      <w:pPr>
        <w:pStyle w:val="ListParagraph"/>
        <w:numPr>
          <w:ilvl w:val="0"/>
          <w:numId w:val="3"/>
        </w:numPr>
        <w:spacing w:after="100" w:line="276"/>
      </w:pPr>
      <w:r>
        <w:t xml:space="preserve">One accent color, used rarely, hits harder than three used often.</w:t>
      </w:r>
    </w:p>
    <w:p>
      <w:pPr>
        <w:pStyle w:val="ListParagraph"/>
        <w:numPr>
          <w:ilvl w:val="0"/>
          <w:numId w:val="3"/>
        </w:numPr>
        <w:spacing w:after="100" w:line="276"/>
      </w:pPr>
      <w:r>
        <w:t xml:space="preserve">Every number on the page is sourced and specific — no floating, uncontextualized statistics.</w:t>
      </w:r>
    </w:p>
    <w:p>
      <w:pPr>
        <w:pStyle w:val="ListParagraph"/>
        <w:numPr>
          <w:ilvl w:val="0"/>
          <w:numId w:val="3"/>
        </w:numPr>
        <w:spacing w:after="100" w:line="276"/>
      </w:pPr>
      <w:r>
        <w:t xml:space="preserve">Sharp geometry and serif headlines signal institutional seriousness; rounded/pill-everything signals consumer/youth — pick one register and hold it page-wide.</w:t>
      </w:r>
    </w:p>
    <w:p>
      <w:pPr>
        <w:pStyle w:val="ListParagraph"/>
        <w:numPr>
          <w:ilvl w:val="0"/>
          <w:numId w:val="3"/>
        </w:numPr>
        <w:spacing w:after="100" w:line="276"/>
      </w:pPr>
      <w:r>
        <w:t xml:space="preserve">Whitespace is not empty space, it's the page's way of saying 'we don't need to shout.'</w:t>
      </w:r>
    </w:p>
    <w:p>
      <w:pPr>
        <w:pStyle w:val="Heading1"/>
        <w:pageBreakBefore/>
      </w:pPr>
      <w:r>
        <w:t xml:space="preserve">Phase 5 — Conversion Optimization</w:t>
      </w:r>
    </w:p>
    <w:p>
      <w:pPr>
        <w:pStyle w:val="Heading2"/>
      </w:pPr>
      <w:r>
        <w:t xml:space="preserve">CTA Strategy</w:t>
      </w:r>
    </w:p>
    <w:p>
      <w:pPr>
        <w:tabs>
          <w:tab w:val="left" w:pos="2200"/>
        </w:tabs>
        <w:spacing w:after="80"/>
      </w:pPr>
      <w:r>
        <w:rPr>
          <w:b/>
          <w:bCs/>
          <w:sz w:val="21"/>
          <w:szCs w:val="21"/>
        </w:rPr>
        <w:t xml:space="preserve">Primary CTA:</w:t>
      </w:r>
      <w:r>
        <w:rPr>
          <w:sz w:val="21"/>
          <w:szCs w:val="21"/>
        </w:rPr>
        <w:t xml:space="preserve">	“Enroll Now” / “View Program” — appears in the nav bar, hero, every program card, and the final CTA band. Always the solid gold button. This is the only button style permitted to use the accent color, which keeps its meaning unambiguous site-wide.</w:t>
      </w:r>
    </w:p>
    <w:p>
      <w:pPr>
        <w:tabs>
          <w:tab w:val="left" w:pos="2200"/>
        </w:tabs>
        <w:spacing w:after="80"/>
      </w:pPr>
      <w:r>
        <w:rPr>
          <w:b/>
          <w:bCs/>
          <w:sz w:val="21"/>
          <w:szCs w:val="21"/>
        </w:rPr>
        <w:t xml:space="preserve">Secondary CTA:</w:t>
      </w:r>
      <w:r>
        <w:rPr>
          <w:sz w:val="21"/>
          <w:szCs w:val="21"/>
        </w:rPr>
        <w:t xml:space="preserve">	“Book a Free Career Call” (or “Talk to a Mentor”) — appears beside the primary in the hero and final CTA band only. Ghost/outline style. This exists specifically for the buyer identified in Phase 1 who has real objections (which combo? will this fit my domain?) and isn't ready to self-checkout — it converts hesitant traffic into a sales conversation instead of losing it.</w:t>
      </w:r>
    </w:p>
    <w:p>
      <w:pPr>
        <w:tabs>
          <w:tab w:val="left" w:pos="2200"/>
        </w:tabs>
        <w:spacing w:after="80"/>
      </w:pPr>
      <w:r>
        <w:rPr>
          <w:b/>
          <w:bCs/>
          <w:sz w:val="21"/>
          <w:szCs w:val="21"/>
        </w:rPr>
        <w:t xml:space="preserve">Tertiary CTA:</w:t>
      </w:r>
      <w:r>
        <w:rPr>
          <w:sz w:val="21"/>
          <w:szCs w:val="21"/>
        </w:rPr>
        <w:t xml:space="preserve">	“Join the WhatsApp Community” / “Join Telegram” — placed only in the footer and optionally as a small inline link in the FAQ section. Zero-commitment, community-proof-of-life action for visitors not ready for either CTA above; keeps them in MBA Partner's orbit rather than leaving entirely.</w:t>
      </w:r>
    </w:p>
    <w:p>
      <w:pPr>
        <w:pStyle w:val="Heading2"/>
      </w:pPr>
      <w:r>
        <w:t xml:space="preserve">Trust-Building Elements, Ranked by Leverage</w:t>
      </w:r>
    </w:p>
    <w:p>
      <w:pPr>
        <w:pStyle w:val="ListParagraph"/>
        <w:numPr>
          <w:ilvl w:val="0"/>
          <w:numId w:val="3"/>
        </w:numPr>
        <w:spacing w:after="100" w:line="276"/>
      </w:pPr>
      <w:r>
        <w:t xml:space="preserve">Recruiter logo wall (Section 03) — highest leverage, currently completely unused. Costs nothing to build (logos already implied by existing testimonial copy) and does more credibility work per pixel than any other element on the page.</w:t>
      </w:r>
    </w:p>
    <w:p>
      <w:pPr>
        <w:pStyle w:val="ListParagraph"/>
        <w:numPr>
          <w:ilvl w:val="0"/>
          <w:numId w:val="3"/>
        </w:numPr>
        <w:spacing w:after="100" w:line="276"/>
      </w:pPr>
      <w:r>
        <w:t xml:space="preserve">Named mentor credibility wall (Section 09) — second highest leverage. Converts an abstract claim into specific, checkable proof.</w:t>
      </w:r>
    </w:p>
    <w:p>
      <w:pPr>
        <w:pStyle w:val="ListParagraph"/>
        <w:numPr>
          <w:ilvl w:val="0"/>
          <w:numId w:val="3"/>
        </w:numPr>
        <w:spacing w:after="100" w:line="276"/>
      </w:pPr>
      <w:r>
        <w:t xml:space="preserve">Outcome-led testimonials with role+company badges (Section 10) — upgrades an existing strong asset that is currently underpowered by poor visual hierarchy.</w:t>
      </w:r>
    </w:p>
    <w:p>
      <w:pPr>
        <w:pStyle w:val="ListParagraph"/>
        <w:numPr>
          <w:ilvl w:val="0"/>
          <w:numId w:val="3"/>
        </w:numPr>
        <w:spacing w:after="100" w:line="276"/>
      </w:pPr>
      <w:r>
        <w:t xml:space="preserve">Quantified metrics band (Section 04) — strong but lower leverage than the above because raw numbers alone are easier to be skeptical of than named people and named companies.</w:t>
      </w:r>
    </w:p>
    <w:p>
      <w:pPr>
        <w:pStyle w:val="ListParagraph"/>
        <w:numPr>
          <w:ilvl w:val="0"/>
          <w:numId w:val="3"/>
        </w:numPr>
        <w:spacing w:after="100" w:line="276"/>
      </w:pPr>
      <w:r>
        <w:t xml:space="preserve">FAQ (Section 11) — lower leverage for first impression, but high leverage for the final 10% of hesitant buyers right before checkout.</w:t>
      </w:r>
    </w:p>
    <w:p>
      <w:pPr>
        <w:pStyle w:val="Heading2"/>
      </w:pPr>
      <w:r>
        <w:t xml:space="preserve">Social Proof Placement Logic</w:t>
      </w:r>
    </w:p>
    <w:p>
      <w:pPr>
        <w:spacing w:after="160" w:line="288"/>
      </w:pPr>
      <w:r>
        <w:t xml:space="preserve">Proof should appear at three deliberate moments rather than being clustered in one testimonials block, which is the current page's structure (proof lives only on a separate page entirely): immediately after the hero (logo wall — fast, low-effort credibility), mid-page after program details are understood (named testimonials with outcomes — proof that the specific thing they're now considering actually worked for someone like them), and right before the final ask (the reassurance microcopy in the closing band — proof persists right up to the moment of decision).</w:t>
      </w:r>
    </w:p>
    <w:p>
      <w:pPr>
        <w:pStyle w:val="Heading2"/>
      </w:pPr>
      <w:r>
        <w:t xml:space="preserve">Lead Capture Opportunities</w:t>
      </w:r>
    </w:p>
    <w:p>
      <w:pPr>
        <w:pStyle w:val="ListParagraph"/>
        <w:numPr>
          <w:ilvl w:val="0"/>
          <w:numId w:val="2"/>
        </w:numPr>
        <w:spacing w:after="100" w:line="276"/>
      </w:pPr>
      <w:r>
        <w:t xml:space="preserve">Secondary CTA (“Book a Free Career Call”) is itself the primary lead-capture mechanism for visitors not ready to pay — converts an otherwise-lost visitor into a sales conversation.</w:t>
      </w:r>
    </w:p>
    <w:p>
      <w:pPr>
        <w:pStyle w:val="ListParagraph"/>
        <w:numPr>
          <w:ilvl w:val="0"/>
          <w:numId w:val="2"/>
        </w:numPr>
        <w:spacing w:after="100" w:line="276"/>
      </w:pPr>
      <w:r>
        <w:t xml:space="preserve">A lightweight, optional exit-intent or scroll-depth prompt (e.g. after 75% scroll without conversion) offering the free compendium/sample-CV download already referenced on the homepage — low-friction, high-perceived-value, and captures an email/WhatsApp number for remarketing during the SIP season window.</w:t>
      </w:r>
    </w:p>
    <w:p>
      <w:pPr>
        <w:pStyle w:val="ListParagraph"/>
        <w:numPr>
          <w:ilvl w:val="0"/>
          <w:numId w:val="2"/>
        </w:numPr>
        <w:spacing w:after="100" w:line="276"/>
      </w:pPr>
      <w:r>
        <w:t xml:space="preserve">FAQ section's final question can deliberately end on an open question (“Still deciding? Talk to a mentor before you enroll”) with an inline secondary CTA, capturing hesitant scrollers who read the whole page but haven't converted.</w:t>
      </w:r>
    </w:p>
    <w:p>
      <w:pPr>
        <w:pStyle w:val="Heading2"/>
      </w:pPr>
      <w:r>
        <w:t xml:space="preserve">Psychological Triggers &amp; Decision Shortcuts</w:t>
      </w:r>
    </w:p>
    <w:p>
      <w:pPr>
        <w:pStyle w:val="ListParagraph"/>
        <w:numPr>
          <w:ilvl w:val="0"/>
          <w:numId w:val="3"/>
        </w:numPr>
        <w:spacing w:after="100" w:line="276"/>
      </w:pPr>
      <w:r>
        <w:t xml:space="preserve">Authority — named mentor credentials and the “Initiative by Alumni of Old IIM” founder line both work as authority shortcuts: this audience defers heavily to institutional pedigree.</w:t>
      </w:r>
    </w:p>
    <w:p>
      <w:pPr>
        <w:pStyle w:val="ListParagraph"/>
        <w:numPr>
          <w:ilvl w:val="0"/>
          <w:numId w:val="3"/>
        </w:numPr>
        <w:spacing w:after="100" w:line="276"/>
      </w:pPr>
      <w:r>
        <w:t xml:space="preserve">Social proof — recruiter logos and peer outcomes (“students like me got placed at X”) are stronger for this audience than generic review-count social proof, because the specific recruiter is the actual object of desire.</w:t>
      </w:r>
    </w:p>
    <w:p>
      <w:pPr>
        <w:pStyle w:val="ListParagraph"/>
        <w:numPr>
          <w:ilvl w:val="0"/>
          <w:numId w:val="3"/>
        </w:numPr>
        <w:spacing w:after="100" w:line="276"/>
      </w:pPr>
      <w:r>
        <w:t xml:space="preserve">Specificity bias — “98.7% placed in desired domain” outperforms “99% satisfaction” because it's falsifiable and therefore more believable; the same logic applies to naming exact roles and companies in testimonials rather than vague praise.</w:t>
      </w:r>
    </w:p>
    <w:p>
      <w:pPr>
        <w:pStyle w:val="ListParagraph"/>
        <w:numPr>
          <w:ilvl w:val="0"/>
          <w:numId w:val="3"/>
        </w:numPr>
        <w:spacing w:after="100" w:line="276"/>
      </w:pPr>
      <w:r>
        <w:t xml:space="preserve">Loss aversion, used carefully — “Committee roles and graduation internships are no longer enough” (existing homepage copy) is an effective, honest loss-aversion frame already in MBA Partner's voice; the redesign should keep and elevate this line rather than invent new urgency language.</w:t>
      </w:r>
    </w:p>
    <w:p>
      <w:pPr>
        <w:pStyle w:val="ListParagraph"/>
        <w:numPr>
          <w:ilvl w:val="0"/>
          <w:numId w:val="3"/>
        </w:numPr>
        <w:spacing w:after="100" w:line="276"/>
      </w:pPr>
      <w:r>
        <w:t xml:space="preserve">Default/recommended option — marking the flagship combo as “Most Chosen” in the Programs grid and Comparison table reduces decision fatigue by giving an undecided buyer a safe default, without resorting to manufactured scarcity (sold-out counters, fake countdown timers), which would undercut the premium trust the rest of the page builds.</w:t>
      </w:r>
    </w:p>
    <w:p>
      <w:pPr>
        <w:pStyle w:val="ListParagraph"/>
        <w:numPr>
          <w:ilvl w:val="0"/>
          <w:numId w:val="3"/>
        </w:numPr>
        <w:spacing w:after="100" w:line="276"/>
      </w:pPr>
      <w:r>
        <w:t xml:space="preserve">Reciprocity — offering the free compendium/sample CVs (already an existing asset, currently under-promoted) ahead of any purchase ask builds goodwill that increases conversion on the subsequent CTA.</w:t>
      </w:r>
    </w:p>
    <w:p>
      <w:pPr>
        <w:pStyle w:val="Heading2"/>
      </w:pPr>
      <w:r>
        <w:t xml:space="preserve">Authority &amp; Trust Indicators to Add at Implementation</w:t>
      </w:r>
    </w:p>
    <w:p>
      <w:pPr>
        <w:pStyle w:val="ListParagraph"/>
        <w:numPr>
          <w:ilvl w:val="0"/>
          <w:numId w:val="2"/>
        </w:numPr>
        <w:spacing w:after="100" w:line="276"/>
      </w:pPr>
      <w:r>
        <w:t xml:space="preserve">Specific, dated outcome statistics (e.g. “2023–2026 cohorts”) rather than evergreen unscoped percentages, which read as more audited and harder to dismiss as marketing copy.</w:t>
      </w:r>
    </w:p>
    <w:p>
      <w:pPr>
        <w:pStyle w:val="ListParagraph"/>
        <w:numPr>
          <w:ilvl w:val="0"/>
          <w:numId w:val="2"/>
        </w:numPr>
        <w:spacing w:after="100" w:line="276"/>
      </w:pPr>
      <w:r>
        <w:t xml:space="preserve">Named mentor LinkedIn links (the homepage already does this in testimonials — extend the same pattern to the mentor wall) so claims are independently checkable, which is itself a trust signal to a sophisticated buyer.</w:t>
      </w:r>
    </w:p>
    <w:p>
      <w:pPr>
        <w:pStyle w:val="ListParagraph"/>
        <w:numPr>
          <w:ilvl w:val="0"/>
          <w:numId w:val="2"/>
        </w:numPr>
        <w:spacing w:after="100" w:line="276"/>
      </w:pPr>
      <w:r>
        <w:t xml:space="preserve">A simple, honestly-worded guarantee or refund/reschedule policy line in the final CTA band if one exists operationally — even a modest policy meaningfully lowers perceived risk on a ₹4,000–₹14,000 upfront purchase from a brand the visitor may be encountering for the first time.</w:t>
      </w:r>
    </w:p>
    <w:p>
      <w:pPr>
        <w:pStyle w:val="ListParagraph"/>
        <w:numPr>
          <w:ilvl w:val="0"/>
          <w:numId w:val="2"/>
        </w:numPr>
        <w:spacing w:after="100" w:line="276"/>
      </w:pPr>
      <w:r>
        <w:t xml:space="preserve">Secure-payment / data-privacy microcopy near the final CTA (a small lock icon + “Secure checkout”) — low-effort, expected-by-default reassurance for an Indian D2C-style payment flow.</w:t>
      </w:r>
    </w:p>
    <w:p>
      <w:pPr>
        <w:pStyle w:val="Heading1"/>
        <w:pageBreakBefore/>
      </w:pPr>
      <w:r>
        <w:t xml:space="preserve">Phase 6 — Final Design Brief</w:t>
      </w:r>
    </w:p>
    <w:p>
      <w:pPr>
        <w:spacing w:after="160" w:line="288"/>
      </w:pPr>
      <w:r>
        <w:t xml:space="preserve">This section is written to be handed directly to a Senior UI Designer or Frontend Engineer with no further interpretation required. It restates the implementation in build order and adds component inventory, interaction spec, mobile adaptation notes, and accessibility requirements not fully covered in Phases 3–4.</w:t>
      </w:r>
    </w:p>
    <w:p>
      <w:pPr>
        <w:pStyle w:val="Heading2"/>
      </w:pPr>
      <w:r>
        <w:t xml:space="preserve">Exact Visual Direction (one paragraph, for the wall)</w:t>
      </w:r>
    </w:p>
    <w:p>
      <w:pPr>
        <w:pBdr>
          <w:left w:val="single" w:color="C8962C" w:sz="18" w:space="8"/>
        </w:pBdr>
        <w:spacing w:after="200" w:before="120"/>
        <w:ind w:left="360"/>
      </w:pPr>
      <w:r>
        <w:rPr>
          <w:i/>
          <w:iCs/>
          <w:color w:val="0B1B33"/>
          <w:sz w:val="22"/>
          <w:szCs w:val="22"/>
        </w:rPr>
        <w:t xml:space="preserve">Deep navy (#0B1B33) and warm ivory (#FAF8F3), with a single muted brass accent (#C8962C) used in under 5% of any viewport. Serif display headlines (Playfair Display or licensed equivalent) over a clean sans body (Inter or licensed equivalent). Flat fills, no gradients, no illustration, no pill-everything — 10px-radius cards with hairline borders, generous whitespace, and exactly two full-bleed dark sections on the entire page. The page should look like it was designed by the same studio that did a private bank's annual report, not a course marketplace.</w:t>
      </w:r>
    </w:p>
    <w:p>
      <w:pPr>
        <w:pStyle w:val="Heading2"/>
      </w:pPr>
      <w:r>
        <w:t xml:space="preserve">Section-by-Section Wireframe (build order)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2400"/>
        <w:gridCol w:w="3060"/>
      </w:tblGrid>
      <w:tr>
        <w:trPr>
          <w:tblHeader/>
        </w:trPr>
        <w:tc>
          <w:tcPr>
            <w:tcW w:type="dxa" w:w="6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t>
            </w:r>
          </w:p>
        </w:tc>
        <w:tc>
          <w:tcPr>
            <w:tcW w:type="dxa" w:w="23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Section</w:t>
            </w:r>
          </w:p>
        </w:tc>
        <w:tc>
          <w:tcPr>
            <w:tcW w:type="dxa" w:w="240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Background</w:t>
            </w:r>
          </w:p>
        </w:tc>
        <w:tc>
          <w:tcPr>
            <w:tcW w:type="dxa" w:w="3060"/>
            <w:shd w:fill="0B1B33"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Key Components</w:t>
            </w:r>
          </w:p>
        </w:tc>
      </w:tr>
      <w:tr>
        <w:trPr>
          <w:cantSplit/>
        </w:trPr>
        <w:tc>
          <w:tcPr>
            <w:tcW w:type="dxa" w:w="600"/>
            <w:shd w:fill="FFFFFF" w:val="clear"/>
            <w:tcMar>
              <w:top w:type="dxa" w:w="90"/>
              <w:left w:type="dxa" w:w="120"/>
              <w:bottom w:type="dxa" w:w="90"/>
              <w:right w:type="dxa" w:w="120"/>
            </w:tcMar>
          </w:tcPr>
          <w:p>
            <w:pPr>
              <w:spacing w:after="40"/>
            </w:pPr>
            <w:r>
              <w:rPr>
                <w:sz w:val="20"/>
                <w:szCs w:val="20"/>
              </w:rPr>
              <w:t xml:space="preserve">01</w:t>
            </w:r>
          </w:p>
        </w:tc>
        <w:tc>
          <w:tcPr>
            <w:tcW w:type="dxa" w:w="2300"/>
            <w:shd w:fill="FFFFFF" w:val="clear"/>
            <w:tcMar>
              <w:top w:type="dxa" w:w="90"/>
              <w:left w:type="dxa" w:w="120"/>
              <w:bottom w:type="dxa" w:w="90"/>
              <w:right w:type="dxa" w:w="120"/>
            </w:tcMar>
          </w:tcPr>
          <w:p>
            <w:pPr>
              <w:spacing w:after="40"/>
            </w:pPr>
            <w:r>
              <w:rPr>
                <w:sz w:val="20"/>
                <w:szCs w:val="20"/>
              </w:rPr>
              <w:t xml:space="preserve">Nav Bar (sticky)</w:t>
            </w:r>
          </w:p>
        </w:tc>
        <w:tc>
          <w:tcPr>
            <w:tcW w:type="dxa" w:w="2400"/>
            <w:shd w:fill="FFFFFF" w:val="clear"/>
            <w:tcMar>
              <w:top w:type="dxa" w:w="90"/>
              <w:left w:type="dxa" w:w="120"/>
              <w:bottom w:type="dxa" w:w="90"/>
              <w:right w:type="dxa" w:w="120"/>
            </w:tcMar>
          </w:tcPr>
          <w:p>
            <w:pPr>
              <w:spacing w:after="40"/>
            </w:pPr>
            <w:r>
              <w:rPr>
                <w:sz w:val="20"/>
                <w:szCs w:val="20"/>
              </w:rPr>
              <w:t xml:space="preserve">Ivory / White on scroll</w:t>
            </w:r>
          </w:p>
        </w:tc>
        <w:tc>
          <w:tcPr>
            <w:tcW w:type="dxa" w:w="3060"/>
            <w:shd w:fill="FFFFFF" w:val="clear"/>
            <w:tcMar>
              <w:top w:type="dxa" w:w="90"/>
              <w:left w:type="dxa" w:w="120"/>
              <w:bottom w:type="dxa" w:w="90"/>
              <w:right w:type="dxa" w:w="120"/>
            </w:tcMar>
          </w:tcPr>
          <w:p>
            <w:pPr>
              <w:spacing w:after="40"/>
            </w:pPr>
            <w:r>
              <w:rPr>
                <w:sz w:val="20"/>
                <w:szCs w:val="20"/>
              </w:rPr>
              <w:t xml:space="preserve">Wordmark, credibility line, 4 nav links, 1 primary button</w:t>
            </w:r>
          </w:p>
        </w:tc>
      </w:tr>
      <w:tr>
        <w:trPr>
          <w:cantSplit/>
        </w:trPr>
        <w:tc>
          <w:tcPr>
            <w:tcW w:type="dxa" w:w="600"/>
            <w:shd w:fill="F4F6F8" w:val="clear"/>
            <w:tcMar>
              <w:top w:type="dxa" w:w="90"/>
              <w:left w:type="dxa" w:w="120"/>
              <w:bottom w:type="dxa" w:w="90"/>
              <w:right w:type="dxa" w:w="120"/>
            </w:tcMar>
          </w:tcPr>
          <w:p>
            <w:pPr>
              <w:spacing w:after="40"/>
            </w:pPr>
            <w:r>
              <w:rPr>
                <w:sz w:val="20"/>
                <w:szCs w:val="20"/>
              </w:rPr>
              <w:t xml:space="preserve">02</w:t>
            </w:r>
          </w:p>
        </w:tc>
        <w:tc>
          <w:tcPr>
            <w:tcW w:type="dxa" w:w="2300"/>
            <w:shd w:fill="F4F6F8" w:val="clear"/>
            <w:tcMar>
              <w:top w:type="dxa" w:w="90"/>
              <w:left w:type="dxa" w:w="120"/>
              <w:bottom w:type="dxa" w:w="90"/>
              <w:right w:type="dxa" w:w="120"/>
            </w:tcMar>
          </w:tcPr>
          <w:p>
            <w:pPr>
              <w:spacing w:after="40"/>
            </w:pPr>
            <w:r>
              <w:rPr>
                <w:sz w:val="20"/>
                <w:szCs w:val="20"/>
              </w:rPr>
              <w:t xml:space="preserve">Hero</w:t>
            </w:r>
          </w:p>
        </w:tc>
        <w:tc>
          <w:tcPr>
            <w:tcW w:type="dxa" w:w="2400"/>
            <w:shd w:fill="F4F6F8" w:val="clear"/>
            <w:tcMar>
              <w:top w:type="dxa" w:w="90"/>
              <w:left w:type="dxa" w:w="120"/>
              <w:bottom w:type="dxa" w:w="90"/>
              <w:right w:type="dxa" w:w="120"/>
            </w:tcMar>
          </w:tcPr>
          <w:p>
            <w:pPr>
              <w:spacing w:after="40"/>
            </w:pPr>
            <w:r>
              <w:rPr>
                <w:sz w:val="20"/>
                <w:szCs w:val="20"/>
              </w:rPr>
              <w:t xml:space="preserve">Ivory</w:t>
            </w:r>
          </w:p>
        </w:tc>
        <w:tc>
          <w:tcPr>
            <w:tcW w:type="dxa" w:w="3060"/>
            <w:shd w:fill="F4F6F8" w:val="clear"/>
            <w:tcMar>
              <w:top w:type="dxa" w:w="90"/>
              <w:left w:type="dxa" w:w="120"/>
              <w:bottom w:type="dxa" w:w="90"/>
              <w:right w:type="dxa" w:w="120"/>
            </w:tcMar>
          </w:tcPr>
          <w:p>
            <w:pPr>
              <w:spacing w:after="40"/>
            </w:pPr>
            <w:r>
              <w:rPr>
                <w:sz w:val="20"/>
                <w:szCs w:val="20"/>
              </w:rPr>
              <w:t xml:space="preserve">Eyebrow label, H1, subhead, stat strip, 2 CTAs, hero photo, floating proof card</w:t>
            </w:r>
          </w:p>
        </w:tc>
      </w:tr>
      <w:tr>
        <w:trPr>
          <w:cantSplit/>
        </w:trPr>
        <w:tc>
          <w:tcPr>
            <w:tcW w:type="dxa" w:w="600"/>
            <w:shd w:fill="FFFFFF" w:val="clear"/>
            <w:tcMar>
              <w:top w:type="dxa" w:w="90"/>
              <w:left w:type="dxa" w:w="120"/>
              <w:bottom w:type="dxa" w:w="90"/>
              <w:right w:type="dxa" w:w="120"/>
            </w:tcMar>
          </w:tcPr>
          <w:p>
            <w:pPr>
              <w:spacing w:after="40"/>
            </w:pPr>
            <w:r>
              <w:rPr>
                <w:sz w:val="20"/>
                <w:szCs w:val="20"/>
              </w:rPr>
              <w:t xml:space="preserve">03</w:t>
            </w:r>
          </w:p>
        </w:tc>
        <w:tc>
          <w:tcPr>
            <w:tcW w:type="dxa" w:w="2300"/>
            <w:shd w:fill="FFFFFF" w:val="clear"/>
            <w:tcMar>
              <w:top w:type="dxa" w:w="90"/>
              <w:left w:type="dxa" w:w="120"/>
              <w:bottom w:type="dxa" w:w="90"/>
              <w:right w:type="dxa" w:w="120"/>
            </w:tcMar>
          </w:tcPr>
          <w:p>
            <w:pPr>
              <w:spacing w:after="40"/>
            </w:pPr>
            <w:r>
              <w:rPr>
                <w:sz w:val="20"/>
                <w:szCs w:val="20"/>
              </w:rPr>
              <w:t xml:space="preserve">Trust Bar</w:t>
            </w:r>
          </w:p>
        </w:tc>
        <w:tc>
          <w:tcPr>
            <w:tcW w:type="dxa" w:w="2400"/>
            <w:shd w:fill="FFFFFF" w:val="clear"/>
            <w:tcMar>
              <w:top w:type="dxa" w:w="90"/>
              <w:left w:type="dxa" w:w="120"/>
              <w:bottom w:type="dxa" w:w="90"/>
              <w:right w:type="dxa" w:w="120"/>
            </w:tcMar>
          </w:tcPr>
          <w:p>
            <w:pPr>
              <w:spacing w:after="40"/>
            </w:pPr>
            <w:r>
              <w:rPr>
                <w:sz w:val="20"/>
                <w:szCs w:val="20"/>
              </w:rPr>
              <w:t xml:space="preserve">Pale navy tint</w:t>
            </w:r>
          </w:p>
        </w:tc>
        <w:tc>
          <w:tcPr>
            <w:tcW w:type="dxa" w:w="3060"/>
            <w:shd w:fill="FFFFFF" w:val="clear"/>
            <w:tcMar>
              <w:top w:type="dxa" w:w="90"/>
              <w:left w:type="dxa" w:w="120"/>
              <w:bottom w:type="dxa" w:w="90"/>
              <w:right w:type="dxa" w:w="120"/>
            </w:tcMar>
          </w:tcPr>
          <w:p>
            <w:pPr>
              <w:spacing w:after="40"/>
            </w:pPr>
            <w:r>
              <w:rPr>
                <w:sz w:val="20"/>
                <w:szCs w:val="20"/>
              </w:rPr>
              <w:t xml:space="preserve">Label + 7–9 grayscale logos in a single row</w:t>
            </w:r>
          </w:p>
        </w:tc>
      </w:tr>
      <w:tr>
        <w:trPr>
          <w:cantSplit/>
        </w:trPr>
        <w:tc>
          <w:tcPr>
            <w:tcW w:type="dxa" w:w="600"/>
            <w:shd w:fill="F4F6F8" w:val="clear"/>
            <w:tcMar>
              <w:top w:type="dxa" w:w="90"/>
              <w:left w:type="dxa" w:w="120"/>
              <w:bottom w:type="dxa" w:w="90"/>
              <w:right w:type="dxa" w:w="120"/>
            </w:tcMar>
          </w:tcPr>
          <w:p>
            <w:pPr>
              <w:spacing w:after="40"/>
            </w:pPr>
            <w:r>
              <w:rPr>
                <w:sz w:val="20"/>
                <w:szCs w:val="20"/>
              </w:rPr>
              <w:t xml:space="preserve">04</w:t>
            </w:r>
          </w:p>
        </w:tc>
        <w:tc>
          <w:tcPr>
            <w:tcW w:type="dxa" w:w="2300"/>
            <w:shd w:fill="F4F6F8" w:val="clear"/>
            <w:tcMar>
              <w:top w:type="dxa" w:w="90"/>
              <w:left w:type="dxa" w:w="120"/>
              <w:bottom w:type="dxa" w:w="90"/>
              <w:right w:type="dxa" w:w="120"/>
            </w:tcMar>
          </w:tcPr>
          <w:p>
            <w:pPr>
              <w:spacing w:after="40"/>
            </w:pPr>
            <w:r>
              <w:rPr>
                <w:sz w:val="20"/>
                <w:szCs w:val="20"/>
              </w:rPr>
              <w:t xml:space="preserve">Metrics Band</w:t>
            </w:r>
          </w:p>
        </w:tc>
        <w:tc>
          <w:tcPr>
            <w:tcW w:type="dxa" w:w="2400"/>
            <w:shd w:fill="F4F6F8" w:val="clear"/>
            <w:tcMar>
              <w:top w:type="dxa" w:w="90"/>
              <w:left w:type="dxa" w:w="120"/>
              <w:bottom w:type="dxa" w:w="90"/>
              <w:right w:type="dxa" w:w="120"/>
            </w:tcMar>
          </w:tcPr>
          <w:p>
            <w:pPr>
              <w:spacing w:after="40"/>
            </w:pPr>
            <w:r>
              <w:rPr>
                <w:sz w:val="20"/>
                <w:szCs w:val="20"/>
              </w:rPr>
              <w:t xml:space="preserve">Navy (full-bleed)</w:t>
            </w:r>
          </w:p>
        </w:tc>
        <w:tc>
          <w:tcPr>
            <w:tcW w:type="dxa" w:w="3060"/>
            <w:shd w:fill="F4F6F8" w:val="clear"/>
            <w:tcMar>
              <w:top w:type="dxa" w:w="90"/>
              <w:left w:type="dxa" w:w="120"/>
              <w:bottom w:type="dxa" w:w="90"/>
              <w:right w:type="dxa" w:w="120"/>
            </w:tcMar>
          </w:tcPr>
          <w:p>
            <w:pPr>
              <w:spacing w:after="40"/>
            </w:pPr>
            <w:r>
              <w:rPr>
                <w:sz w:val="20"/>
                <w:szCs w:val="20"/>
              </w:rPr>
              <w:t xml:space="preserve">4 stat tiles, gold top-rule, tabular numerals</w:t>
            </w:r>
          </w:p>
        </w:tc>
      </w:tr>
      <w:tr>
        <w:trPr>
          <w:cantSplit/>
        </w:trPr>
        <w:tc>
          <w:tcPr>
            <w:tcW w:type="dxa" w:w="600"/>
            <w:shd w:fill="FFFFFF" w:val="clear"/>
            <w:tcMar>
              <w:top w:type="dxa" w:w="90"/>
              <w:left w:type="dxa" w:w="120"/>
              <w:bottom w:type="dxa" w:w="90"/>
              <w:right w:type="dxa" w:w="120"/>
            </w:tcMar>
          </w:tcPr>
          <w:p>
            <w:pPr>
              <w:spacing w:after="40"/>
            </w:pPr>
            <w:r>
              <w:rPr>
                <w:sz w:val="20"/>
                <w:szCs w:val="20"/>
              </w:rPr>
              <w:t xml:space="preserve">05</w:t>
            </w:r>
          </w:p>
        </w:tc>
        <w:tc>
          <w:tcPr>
            <w:tcW w:type="dxa" w:w="2300"/>
            <w:shd w:fill="FFFFFF" w:val="clear"/>
            <w:tcMar>
              <w:top w:type="dxa" w:w="90"/>
              <w:left w:type="dxa" w:w="120"/>
              <w:bottom w:type="dxa" w:w="90"/>
              <w:right w:type="dxa" w:w="120"/>
            </w:tcMar>
          </w:tcPr>
          <w:p>
            <w:pPr>
              <w:spacing w:after="40"/>
            </w:pPr>
            <w:r>
              <w:rPr>
                <w:sz w:val="20"/>
                <w:szCs w:val="20"/>
              </w:rPr>
              <w:t xml:space="preserve">Path Finder</w:t>
            </w:r>
          </w:p>
        </w:tc>
        <w:tc>
          <w:tcPr>
            <w:tcW w:type="dxa" w:w="2400"/>
            <w:shd w:fill="FFFFFF" w:val="clear"/>
            <w:tcMar>
              <w:top w:type="dxa" w:w="90"/>
              <w:left w:type="dxa" w:w="120"/>
              <w:bottom w:type="dxa" w:w="90"/>
              <w:right w:type="dxa" w:w="120"/>
            </w:tcMar>
          </w:tcPr>
          <w:p>
            <w:pPr>
              <w:spacing w:after="40"/>
            </w:pPr>
            <w:r>
              <w:rPr>
                <w:sz w:val="20"/>
                <w:szCs w:val="20"/>
              </w:rPr>
              <w:t xml:space="preserve">White</w:t>
            </w:r>
          </w:p>
        </w:tc>
        <w:tc>
          <w:tcPr>
            <w:tcW w:type="dxa" w:w="3060"/>
            <w:shd w:fill="FFFFFF" w:val="clear"/>
            <w:tcMar>
              <w:top w:type="dxa" w:w="90"/>
              <w:left w:type="dxa" w:w="120"/>
              <w:bottom w:type="dxa" w:w="90"/>
              <w:right w:type="dxa" w:w="120"/>
            </w:tcMar>
          </w:tcPr>
          <w:p>
            <w:pPr>
              <w:spacing w:after="40"/>
            </w:pPr>
            <w:r>
              <w:rPr>
                <w:sz w:val="20"/>
                <w:szCs w:val="20"/>
              </w:rPr>
              <w:t xml:space="preserve">3 diagnostic cards with text-link routing</w:t>
            </w:r>
          </w:p>
        </w:tc>
      </w:tr>
      <w:tr>
        <w:trPr>
          <w:cantSplit/>
        </w:trPr>
        <w:tc>
          <w:tcPr>
            <w:tcW w:type="dxa" w:w="600"/>
            <w:shd w:fill="F4F6F8" w:val="clear"/>
            <w:tcMar>
              <w:top w:type="dxa" w:w="90"/>
              <w:left w:type="dxa" w:w="120"/>
              <w:bottom w:type="dxa" w:w="90"/>
              <w:right w:type="dxa" w:w="120"/>
            </w:tcMar>
          </w:tcPr>
          <w:p>
            <w:pPr>
              <w:spacing w:after="40"/>
            </w:pPr>
            <w:r>
              <w:rPr>
                <w:sz w:val="20"/>
                <w:szCs w:val="20"/>
              </w:rPr>
              <w:t xml:space="preserve">06</w:t>
            </w:r>
          </w:p>
        </w:tc>
        <w:tc>
          <w:tcPr>
            <w:tcW w:type="dxa" w:w="2300"/>
            <w:shd w:fill="F4F6F8" w:val="clear"/>
            <w:tcMar>
              <w:top w:type="dxa" w:w="90"/>
              <w:left w:type="dxa" w:w="120"/>
              <w:bottom w:type="dxa" w:w="90"/>
              <w:right w:type="dxa" w:w="120"/>
            </w:tcMar>
          </w:tcPr>
          <w:p>
            <w:pPr>
              <w:spacing w:after="40"/>
            </w:pPr>
            <w:r>
              <w:rPr>
                <w:sz w:val="20"/>
                <w:szCs w:val="20"/>
              </w:rPr>
              <w:t xml:space="preserve">Featured Programs</w:t>
            </w:r>
          </w:p>
        </w:tc>
        <w:tc>
          <w:tcPr>
            <w:tcW w:type="dxa" w:w="2400"/>
            <w:shd w:fill="F4F6F8" w:val="clear"/>
            <w:tcMar>
              <w:top w:type="dxa" w:w="90"/>
              <w:left w:type="dxa" w:w="120"/>
              <w:bottom w:type="dxa" w:w="90"/>
              <w:right w:type="dxa" w:w="120"/>
            </w:tcMar>
          </w:tcPr>
          <w:p>
            <w:pPr>
              <w:spacing w:after="40"/>
            </w:pPr>
            <w:r>
              <w:rPr>
                <w:sz w:val="20"/>
                <w:szCs w:val="20"/>
              </w:rPr>
              <w:t xml:space="preserve">Pale panel</w:t>
            </w:r>
          </w:p>
        </w:tc>
        <w:tc>
          <w:tcPr>
            <w:tcW w:type="dxa" w:w="3060"/>
            <w:shd w:fill="F4F6F8" w:val="clear"/>
            <w:tcMar>
              <w:top w:type="dxa" w:w="90"/>
              <w:left w:type="dxa" w:w="120"/>
              <w:bottom w:type="dxa" w:w="90"/>
              <w:right w:type="dxa" w:w="120"/>
            </w:tcMar>
          </w:tcPr>
          <w:p>
            <w:pPr>
              <w:spacing w:after="40"/>
            </w:pPr>
            <w:r>
              <w:rPr>
                <w:sz w:val="20"/>
                <w:szCs w:val="20"/>
              </w:rPr>
              <w:t xml:space="preserve">Section intro + 3-up program card grid, 1 flagship-marked card</w:t>
            </w:r>
          </w:p>
        </w:tc>
      </w:tr>
      <w:tr>
        <w:trPr>
          <w:cantSplit/>
        </w:trPr>
        <w:tc>
          <w:tcPr>
            <w:tcW w:type="dxa" w:w="600"/>
            <w:shd w:fill="FFFFFF" w:val="clear"/>
            <w:tcMar>
              <w:top w:type="dxa" w:w="90"/>
              <w:left w:type="dxa" w:w="120"/>
              <w:bottom w:type="dxa" w:w="90"/>
              <w:right w:type="dxa" w:w="120"/>
            </w:tcMar>
          </w:tcPr>
          <w:p>
            <w:pPr>
              <w:spacing w:after="40"/>
            </w:pPr>
            <w:r>
              <w:rPr>
                <w:sz w:val="20"/>
                <w:szCs w:val="20"/>
              </w:rPr>
              <w:t xml:space="preserve">07</w:t>
            </w:r>
          </w:p>
        </w:tc>
        <w:tc>
          <w:tcPr>
            <w:tcW w:type="dxa" w:w="2300"/>
            <w:shd w:fill="FFFFFF" w:val="clear"/>
            <w:tcMar>
              <w:top w:type="dxa" w:w="90"/>
              <w:left w:type="dxa" w:w="120"/>
              <w:bottom w:type="dxa" w:w="90"/>
              <w:right w:type="dxa" w:w="120"/>
            </w:tcMar>
          </w:tcPr>
          <w:p>
            <w:pPr>
              <w:spacing w:after="40"/>
            </w:pPr>
            <w:r>
              <w:rPr>
                <w:sz w:val="20"/>
                <w:szCs w:val="20"/>
              </w:rPr>
              <w:t xml:space="preserve">Comparison Table</w:t>
            </w:r>
          </w:p>
        </w:tc>
        <w:tc>
          <w:tcPr>
            <w:tcW w:type="dxa" w:w="2400"/>
            <w:shd w:fill="FFFFFF" w:val="clear"/>
            <w:tcMar>
              <w:top w:type="dxa" w:w="90"/>
              <w:left w:type="dxa" w:w="120"/>
              <w:bottom w:type="dxa" w:w="90"/>
              <w:right w:type="dxa" w:w="120"/>
            </w:tcMar>
          </w:tcPr>
          <w:p>
            <w:pPr>
              <w:spacing w:after="40"/>
            </w:pPr>
            <w:r>
              <w:rPr>
                <w:sz w:val="20"/>
                <w:szCs w:val="20"/>
              </w:rPr>
              <w:t xml:space="preserve">White</w:t>
            </w:r>
          </w:p>
        </w:tc>
        <w:tc>
          <w:tcPr>
            <w:tcW w:type="dxa" w:w="3060"/>
            <w:shd w:fill="FFFFFF" w:val="clear"/>
            <w:tcMar>
              <w:top w:type="dxa" w:w="90"/>
              <w:left w:type="dxa" w:w="120"/>
              <w:bottom w:type="dxa" w:w="90"/>
              <w:right w:type="dxa" w:w="120"/>
            </w:tcMar>
          </w:tcPr>
          <w:p>
            <w:pPr>
              <w:spacing w:after="40"/>
            </w:pPr>
            <w:r>
              <w:rPr>
                <w:sz w:val="20"/>
                <w:szCs w:val="20"/>
              </w:rPr>
              <w:t xml:space="preserve">Sticky-first-column table, gold-highlighted flagship column</w:t>
            </w:r>
          </w:p>
        </w:tc>
      </w:tr>
      <w:tr>
        <w:trPr>
          <w:cantSplit/>
        </w:trPr>
        <w:tc>
          <w:tcPr>
            <w:tcW w:type="dxa" w:w="600"/>
            <w:shd w:fill="F4F6F8" w:val="clear"/>
            <w:tcMar>
              <w:top w:type="dxa" w:w="90"/>
              <w:left w:type="dxa" w:w="120"/>
              <w:bottom w:type="dxa" w:w="90"/>
              <w:right w:type="dxa" w:w="120"/>
            </w:tcMar>
          </w:tcPr>
          <w:p>
            <w:pPr>
              <w:spacing w:after="40"/>
            </w:pPr>
            <w:r>
              <w:rPr>
                <w:sz w:val="20"/>
                <w:szCs w:val="20"/>
              </w:rPr>
              <w:t xml:space="preserve">08</w:t>
            </w:r>
          </w:p>
        </w:tc>
        <w:tc>
          <w:tcPr>
            <w:tcW w:type="dxa" w:w="2300"/>
            <w:shd w:fill="F4F6F8" w:val="clear"/>
            <w:tcMar>
              <w:top w:type="dxa" w:w="90"/>
              <w:left w:type="dxa" w:w="120"/>
              <w:bottom w:type="dxa" w:w="90"/>
              <w:right w:type="dxa" w:w="120"/>
            </w:tcMar>
          </w:tcPr>
          <w:p>
            <w:pPr>
              <w:spacing w:after="40"/>
            </w:pPr>
            <w:r>
              <w:rPr>
                <w:sz w:val="20"/>
                <w:szCs w:val="20"/>
              </w:rPr>
              <w:t xml:space="preserve">How It Works</w:t>
            </w:r>
          </w:p>
        </w:tc>
        <w:tc>
          <w:tcPr>
            <w:tcW w:type="dxa" w:w="2400"/>
            <w:shd w:fill="F4F6F8" w:val="clear"/>
            <w:tcMar>
              <w:top w:type="dxa" w:w="90"/>
              <w:left w:type="dxa" w:w="120"/>
              <w:bottom w:type="dxa" w:w="90"/>
              <w:right w:type="dxa" w:w="120"/>
            </w:tcMar>
          </w:tcPr>
          <w:p>
            <w:pPr>
              <w:spacing w:after="40"/>
            </w:pPr>
            <w:r>
              <w:rPr>
                <w:sz w:val="20"/>
                <w:szCs w:val="20"/>
              </w:rPr>
              <w:t xml:space="preserve">Pale panel</w:t>
            </w:r>
          </w:p>
        </w:tc>
        <w:tc>
          <w:tcPr>
            <w:tcW w:type="dxa" w:w="3060"/>
            <w:shd w:fill="F4F6F8" w:val="clear"/>
            <w:tcMar>
              <w:top w:type="dxa" w:w="90"/>
              <w:left w:type="dxa" w:w="120"/>
              <w:bottom w:type="dxa" w:w="90"/>
              <w:right w:type="dxa" w:w="120"/>
            </w:tcMar>
          </w:tcPr>
          <w:p>
            <w:pPr>
              <w:spacing w:after="40"/>
            </w:pPr>
            <w:r>
              <w:rPr>
                <w:sz w:val="20"/>
                <w:szCs w:val="20"/>
              </w:rPr>
              <w:t xml:space="preserve">4-step horizontal timeline w/ numerals + connector line</w:t>
            </w:r>
          </w:p>
        </w:tc>
      </w:tr>
      <w:tr>
        <w:trPr>
          <w:cantSplit/>
        </w:trPr>
        <w:tc>
          <w:tcPr>
            <w:tcW w:type="dxa" w:w="600"/>
            <w:shd w:fill="FFFFFF" w:val="clear"/>
            <w:tcMar>
              <w:top w:type="dxa" w:w="90"/>
              <w:left w:type="dxa" w:w="120"/>
              <w:bottom w:type="dxa" w:w="90"/>
              <w:right w:type="dxa" w:w="120"/>
            </w:tcMar>
          </w:tcPr>
          <w:p>
            <w:pPr>
              <w:spacing w:after="40"/>
            </w:pPr>
            <w:r>
              <w:rPr>
                <w:sz w:val="20"/>
                <w:szCs w:val="20"/>
              </w:rPr>
              <w:t xml:space="preserve">09</w:t>
            </w:r>
          </w:p>
        </w:tc>
        <w:tc>
          <w:tcPr>
            <w:tcW w:type="dxa" w:w="2300"/>
            <w:shd w:fill="FFFFFF" w:val="clear"/>
            <w:tcMar>
              <w:top w:type="dxa" w:w="90"/>
              <w:left w:type="dxa" w:w="120"/>
              <w:bottom w:type="dxa" w:w="90"/>
              <w:right w:type="dxa" w:w="120"/>
            </w:tcMar>
          </w:tcPr>
          <w:p>
            <w:pPr>
              <w:spacing w:after="40"/>
            </w:pPr>
            <w:r>
              <w:rPr>
                <w:sz w:val="20"/>
                <w:szCs w:val="20"/>
              </w:rPr>
              <w:t xml:space="preserve">Mentor Wall</w:t>
            </w:r>
          </w:p>
        </w:tc>
        <w:tc>
          <w:tcPr>
            <w:tcW w:type="dxa" w:w="2400"/>
            <w:shd w:fill="FFFFFF" w:val="clear"/>
            <w:tcMar>
              <w:top w:type="dxa" w:w="90"/>
              <w:left w:type="dxa" w:w="120"/>
              <w:bottom w:type="dxa" w:w="90"/>
              <w:right w:type="dxa" w:w="120"/>
            </w:tcMar>
          </w:tcPr>
          <w:p>
            <w:pPr>
              <w:spacing w:after="40"/>
            </w:pPr>
            <w:r>
              <w:rPr>
                <w:sz w:val="20"/>
                <w:szCs w:val="20"/>
              </w:rPr>
              <w:t xml:space="preserve">White</w:t>
            </w:r>
          </w:p>
        </w:tc>
        <w:tc>
          <w:tcPr>
            <w:tcW w:type="dxa" w:w="3060"/>
            <w:shd w:fill="FFFFFF" w:val="clear"/>
            <w:tcMar>
              <w:top w:type="dxa" w:w="90"/>
              <w:left w:type="dxa" w:w="120"/>
              <w:bottom w:type="dxa" w:w="90"/>
              <w:right w:type="dxa" w:w="120"/>
            </w:tcMar>
          </w:tcPr>
          <w:p>
            <w:pPr>
              <w:spacing w:after="40"/>
            </w:pPr>
            <w:r>
              <w:rPr>
                <w:sz w:val="20"/>
                <w:szCs w:val="20"/>
              </w:rPr>
              <w:t xml:space="preserve">4-up mentor card grid, headshot + credential + domain tag</w:t>
            </w:r>
          </w:p>
        </w:tc>
      </w:tr>
      <w:tr>
        <w:trPr>
          <w:cantSplit/>
        </w:trPr>
        <w:tc>
          <w:tcPr>
            <w:tcW w:type="dxa" w:w="600"/>
            <w:shd w:fill="F4F6F8" w:val="clear"/>
            <w:tcMar>
              <w:top w:type="dxa" w:w="90"/>
              <w:left w:type="dxa" w:w="120"/>
              <w:bottom w:type="dxa" w:w="90"/>
              <w:right w:type="dxa" w:w="120"/>
            </w:tcMar>
          </w:tcPr>
          <w:p>
            <w:pPr>
              <w:spacing w:after="40"/>
            </w:pPr>
            <w:r>
              <w:rPr>
                <w:sz w:val="20"/>
                <w:szCs w:val="20"/>
              </w:rPr>
              <w:t xml:space="preserve">10</w:t>
            </w:r>
          </w:p>
        </w:tc>
        <w:tc>
          <w:tcPr>
            <w:tcW w:type="dxa" w:w="2300"/>
            <w:shd w:fill="F4F6F8" w:val="clear"/>
            <w:tcMar>
              <w:top w:type="dxa" w:w="90"/>
              <w:left w:type="dxa" w:w="120"/>
              <w:bottom w:type="dxa" w:w="90"/>
              <w:right w:type="dxa" w:w="120"/>
            </w:tcMar>
          </w:tcPr>
          <w:p>
            <w:pPr>
              <w:spacing w:after="40"/>
            </w:pPr>
            <w:r>
              <w:rPr>
                <w:sz w:val="20"/>
                <w:szCs w:val="20"/>
              </w:rPr>
              <w:t xml:space="preserve">Outcome Stories</w:t>
            </w:r>
          </w:p>
        </w:tc>
        <w:tc>
          <w:tcPr>
            <w:tcW w:type="dxa" w:w="2400"/>
            <w:shd w:fill="F4F6F8" w:val="clear"/>
            <w:tcMar>
              <w:top w:type="dxa" w:w="90"/>
              <w:left w:type="dxa" w:w="120"/>
              <w:bottom w:type="dxa" w:w="90"/>
              <w:right w:type="dxa" w:w="120"/>
            </w:tcMar>
          </w:tcPr>
          <w:p>
            <w:pPr>
              <w:spacing w:after="40"/>
            </w:pPr>
            <w:r>
              <w:rPr>
                <w:sz w:val="20"/>
                <w:szCs w:val="20"/>
              </w:rPr>
              <w:t xml:space="preserve">Mixed (navy quote block + white cards)</w:t>
            </w:r>
          </w:p>
        </w:tc>
        <w:tc>
          <w:tcPr>
            <w:tcW w:type="dxa" w:w="3060"/>
            <w:shd w:fill="F4F6F8" w:val="clear"/>
            <w:tcMar>
              <w:top w:type="dxa" w:w="90"/>
              <w:left w:type="dxa" w:w="120"/>
              <w:bottom w:type="dxa" w:w="90"/>
              <w:right w:type="dxa" w:w="120"/>
            </w:tcMar>
          </w:tcPr>
          <w:p>
            <w:pPr>
              <w:spacing w:after="40"/>
            </w:pPr>
            <w:r>
              <w:rPr>
                <w:sz w:val="20"/>
                <w:szCs w:val="20"/>
              </w:rPr>
              <w:t xml:space="preserve">1 featured pull-quote, 3-up testimonial card grid</w:t>
            </w:r>
          </w:p>
        </w:tc>
      </w:tr>
      <w:tr>
        <w:trPr>
          <w:cantSplit/>
        </w:trPr>
        <w:tc>
          <w:tcPr>
            <w:tcW w:type="dxa" w:w="600"/>
            <w:shd w:fill="FFFFFF" w:val="clear"/>
            <w:tcMar>
              <w:top w:type="dxa" w:w="90"/>
              <w:left w:type="dxa" w:w="120"/>
              <w:bottom w:type="dxa" w:w="90"/>
              <w:right w:type="dxa" w:w="120"/>
            </w:tcMar>
          </w:tcPr>
          <w:p>
            <w:pPr>
              <w:spacing w:after="40"/>
            </w:pPr>
            <w:r>
              <w:rPr>
                <w:sz w:val="20"/>
                <w:szCs w:val="20"/>
              </w:rPr>
              <w:t xml:space="preserve">11</w:t>
            </w:r>
          </w:p>
        </w:tc>
        <w:tc>
          <w:tcPr>
            <w:tcW w:type="dxa" w:w="2300"/>
            <w:shd w:fill="FFFFFF" w:val="clear"/>
            <w:tcMar>
              <w:top w:type="dxa" w:w="90"/>
              <w:left w:type="dxa" w:w="120"/>
              <w:bottom w:type="dxa" w:w="90"/>
              <w:right w:type="dxa" w:w="120"/>
            </w:tcMar>
          </w:tcPr>
          <w:p>
            <w:pPr>
              <w:spacing w:after="40"/>
            </w:pPr>
            <w:r>
              <w:rPr>
                <w:sz w:val="20"/>
                <w:szCs w:val="20"/>
              </w:rPr>
              <w:t xml:space="preserve">FAQ</w:t>
            </w:r>
          </w:p>
        </w:tc>
        <w:tc>
          <w:tcPr>
            <w:tcW w:type="dxa" w:w="2400"/>
            <w:shd w:fill="FFFFFF" w:val="clear"/>
            <w:tcMar>
              <w:top w:type="dxa" w:w="90"/>
              <w:left w:type="dxa" w:w="120"/>
              <w:bottom w:type="dxa" w:w="90"/>
              <w:right w:type="dxa" w:w="120"/>
            </w:tcMar>
          </w:tcPr>
          <w:p>
            <w:pPr>
              <w:spacing w:after="40"/>
            </w:pPr>
            <w:r>
              <w:rPr>
                <w:sz w:val="20"/>
                <w:szCs w:val="20"/>
              </w:rPr>
              <w:t xml:space="preserve">Pale panel</w:t>
            </w:r>
          </w:p>
        </w:tc>
        <w:tc>
          <w:tcPr>
            <w:tcW w:type="dxa" w:w="3060"/>
            <w:shd w:fill="FFFFFF" w:val="clear"/>
            <w:tcMar>
              <w:top w:type="dxa" w:w="90"/>
              <w:left w:type="dxa" w:w="120"/>
              <w:bottom w:type="dxa" w:w="90"/>
              <w:right w:type="dxa" w:w="120"/>
            </w:tcMar>
          </w:tcPr>
          <w:p>
            <w:pPr>
              <w:spacing w:after="40"/>
            </w:pPr>
            <w:r>
              <w:rPr>
                <w:sz w:val="20"/>
                <w:szCs w:val="20"/>
              </w:rPr>
              <w:t xml:space="preserve">2-column accordion, 6–8 Q&amp;A pairs</w:t>
            </w:r>
          </w:p>
        </w:tc>
      </w:tr>
      <w:tr>
        <w:trPr>
          <w:cantSplit/>
        </w:trPr>
        <w:tc>
          <w:tcPr>
            <w:tcW w:type="dxa" w:w="600"/>
            <w:shd w:fill="F4F6F8" w:val="clear"/>
            <w:tcMar>
              <w:top w:type="dxa" w:w="90"/>
              <w:left w:type="dxa" w:w="120"/>
              <w:bottom w:type="dxa" w:w="90"/>
              <w:right w:type="dxa" w:w="120"/>
            </w:tcMar>
          </w:tcPr>
          <w:p>
            <w:pPr>
              <w:spacing w:after="40"/>
            </w:pPr>
            <w:r>
              <w:rPr>
                <w:sz w:val="20"/>
                <w:szCs w:val="20"/>
              </w:rPr>
              <w:t xml:space="preserve">12</w:t>
            </w:r>
          </w:p>
        </w:tc>
        <w:tc>
          <w:tcPr>
            <w:tcW w:type="dxa" w:w="2300"/>
            <w:shd w:fill="F4F6F8" w:val="clear"/>
            <w:tcMar>
              <w:top w:type="dxa" w:w="90"/>
              <w:left w:type="dxa" w:w="120"/>
              <w:bottom w:type="dxa" w:w="90"/>
              <w:right w:type="dxa" w:w="120"/>
            </w:tcMar>
          </w:tcPr>
          <w:p>
            <w:pPr>
              <w:spacing w:after="40"/>
            </w:pPr>
            <w:r>
              <w:rPr>
                <w:sz w:val="20"/>
                <w:szCs w:val="20"/>
              </w:rPr>
              <w:t xml:space="preserve">Final CTA</w:t>
            </w:r>
          </w:p>
        </w:tc>
        <w:tc>
          <w:tcPr>
            <w:tcW w:type="dxa" w:w="2400"/>
            <w:shd w:fill="F4F6F8" w:val="clear"/>
            <w:tcMar>
              <w:top w:type="dxa" w:w="90"/>
              <w:left w:type="dxa" w:w="120"/>
              <w:bottom w:type="dxa" w:w="90"/>
              <w:right w:type="dxa" w:w="120"/>
            </w:tcMar>
          </w:tcPr>
          <w:p>
            <w:pPr>
              <w:spacing w:after="40"/>
            </w:pPr>
            <w:r>
              <w:rPr>
                <w:sz w:val="20"/>
                <w:szCs w:val="20"/>
              </w:rPr>
              <w:t xml:space="preserve">Navy (full-bleed)</w:t>
            </w:r>
          </w:p>
        </w:tc>
        <w:tc>
          <w:tcPr>
            <w:tcW w:type="dxa" w:w="3060"/>
            <w:shd w:fill="F4F6F8" w:val="clear"/>
            <w:tcMar>
              <w:top w:type="dxa" w:w="90"/>
              <w:left w:type="dxa" w:w="120"/>
              <w:bottom w:type="dxa" w:w="90"/>
              <w:right w:type="dxa" w:w="120"/>
            </w:tcMar>
          </w:tcPr>
          <w:p>
            <w:pPr>
              <w:spacing w:after="40"/>
            </w:pPr>
            <w:r>
              <w:rPr>
                <w:sz w:val="20"/>
                <w:szCs w:val="20"/>
              </w:rPr>
              <w:t xml:space="preserve">Headline, 2 CTAs, reassurance microcopy</w:t>
            </w:r>
          </w:p>
        </w:tc>
      </w:tr>
      <w:tr>
        <w:trPr>
          <w:cantSplit/>
        </w:trPr>
        <w:tc>
          <w:tcPr>
            <w:tcW w:type="dxa" w:w="600"/>
            <w:shd w:fill="FFFFFF" w:val="clear"/>
            <w:tcMar>
              <w:top w:type="dxa" w:w="90"/>
              <w:left w:type="dxa" w:w="120"/>
              <w:bottom w:type="dxa" w:w="90"/>
              <w:right w:type="dxa" w:w="120"/>
            </w:tcMar>
          </w:tcPr>
          <w:p>
            <w:pPr>
              <w:spacing w:after="40"/>
            </w:pPr>
            <w:r>
              <w:rPr>
                <w:sz w:val="20"/>
                <w:szCs w:val="20"/>
              </w:rPr>
              <w:t xml:space="preserve">13</w:t>
            </w:r>
          </w:p>
        </w:tc>
        <w:tc>
          <w:tcPr>
            <w:tcW w:type="dxa" w:w="2300"/>
            <w:shd w:fill="FFFFFF" w:val="clear"/>
            <w:tcMar>
              <w:top w:type="dxa" w:w="90"/>
              <w:left w:type="dxa" w:w="120"/>
              <w:bottom w:type="dxa" w:w="90"/>
              <w:right w:type="dxa" w:w="120"/>
            </w:tcMar>
          </w:tcPr>
          <w:p>
            <w:pPr>
              <w:spacing w:after="40"/>
            </w:pPr>
            <w:r>
              <w:rPr>
                <w:sz w:val="20"/>
                <w:szCs w:val="20"/>
              </w:rPr>
              <w:t xml:space="preserve">Footer</w:t>
            </w:r>
          </w:p>
        </w:tc>
        <w:tc>
          <w:tcPr>
            <w:tcW w:type="dxa" w:w="2400"/>
            <w:shd w:fill="FFFFFF" w:val="clear"/>
            <w:tcMar>
              <w:top w:type="dxa" w:w="90"/>
              <w:left w:type="dxa" w:w="120"/>
              <w:bottom w:type="dxa" w:w="90"/>
              <w:right w:type="dxa" w:w="120"/>
            </w:tcMar>
          </w:tcPr>
          <w:p>
            <w:pPr>
              <w:spacing w:after="40"/>
            </w:pPr>
            <w:r>
              <w:rPr>
                <w:sz w:val="20"/>
                <w:szCs w:val="20"/>
              </w:rPr>
              <w:t xml:space="preserve">Pale navy / off-white</w:t>
            </w:r>
          </w:p>
        </w:tc>
        <w:tc>
          <w:tcPr>
            <w:tcW w:type="dxa" w:w="3060"/>
            <w:shd w:fill="FFFFFF" w:val="clear"/>
            <w:tcMar>
              <w:top w:type="dxa" w:w="90"/>
              <w:left w:type="dxa" w:w="120"/>
              <w:bottom w:type="dxa" w:w="90"/>
              <w:right w:type="dxa" w:w="120"/>
            </w:tcMar>
          </w:tcPr>
          <w:p>
            <w:pPr>
              <w:spacing w:after="40"/>
            </w:pPr>
            <w:r>
              <w:rPr>
                <w:sz w:val="20"/>
                <w:szCs w:val="20"/>
              </w:rPr>
              <w:t xml:space="preserve">4–5 column link grid, social/community icons</w:t>
            </w:r>
          </w:p>
        </w:tc>
      </w:tr>
    </w:tbl>
    <w:p>
      <w:pPr>
        <w:pStyle w:val="Heading2"/>
      </w:pPr>
      <w:r>
        <w:t xml:space="preserve">Component Inventory (for a design system / Figma library)</w:t>
      </w:r>
    </w:p>
    <w:p>
      <w:pPr>
        <w:pStyle w:val="ListParagraph"/>
        <w:numPr>
          <w:ilvl w:val="0"/>
          <w:numId w:val="2"/>
        </w:numPr>
        <w:spacing w:after="100" w:line="276"/>
      </w:pPr>
      <w:r>
        <w:t xml:space="preserve">Buttons: Primary (solid gold), Secondary (ghost navy), Tertiary (text link) — each with default/hover/active/disabled/focus states.</w:t>
      </w:r>
    </w:p>
    <w:p>
      <w:pPr>
        <w:pStyle w:val="ListParagraph"/>
        <w:numPr>
          <w:ilvl w:val="0"/>
          <w:numId w:val="2"/>
        </w:numPr>
        <w:spacing w:after="100" w:line="276"/>
      </w:pPr>
      <w:r>
        <w:t xml:space="preserve">Cards: Program Card, Mentor Card, Testimonial Card, Path Finder Card, FAQ Accordion Item — each with default and hover states (where applicable).</w:t>
      </w:r>
    </w:p>
    <w:p>
      <w:pPr>
        <w:pStyle w:val="ListParagraph"/>
        <w:numPr>
          <w:ilvl w:val="0"/>
          <w:numId w:val="2"/>
        </w:numPr>
        <w:spacing w:after="100" w:line="276"/>
      </w:pPr>
      <w:r>
        <w:t xml:space="preserve">Tags/Badges: “Most Chosen” tag, Domain tag (pill), Verified Outcome tag.</w:t>
      </w:r>
    </w:p>
    <w:p>
      <w:pPr>
        <w:pStyle w:val="ListParagraph"/>
        <w:numPr>
          <w:ilvl w:val="0"/>
          <w:numId w:val="2"/>
        </w:numPr>
        <w:spacing w:after="100" w:line="276"/>
      </w:pPr>
      <w:r>
        <w:t xml:space="preserve">Data display: Stat Tile (dark variant for Metrics Band), Comparison Table (with sticky column behavior), Logo Wall row.</w:t>
      </w:r>
    </w:p>
    <w:p>
      <w:pPr>
        <w:pStyle w:val="ListParagraph"/>
        <w:numPr>
          <w:ilvl w:val="0"/>
          <w:numId w:val="2"/>
        </w:numPr>
        <w:spacing w:after="100" w:line="276"/>
      </w:pPr>
      <w:r>
        <w:t xml:space="preserve">Navigation: Sticky Nav Bar (2 states: top-of-page transparent/light, scrolled with shadow), Footer link group.</w:t>
      </w:r>
    </w:p>
    <w:p>
      <w:pPr>
        <w:pStyle w:val="ListParagraph"/>
        <w:numPr>
          <w:ilvl w:val="0"/>
          <w:numId w:val="2"/>
        </w:numPr>
        <w:spacing w:after="100" w:line="276"/>
      </w:pPr>
      <w:r>
        <w:t xml:space="preserve">Form/Input: minimal — only needed if the “Book a Free Career Call” CTA opens an inline form rather than a third-party scheduling link (Calendly-style is recommended over a custom form to reduce build scope).</w:t>
      </w:r>
    </w:p>
    <w:p>
      <w:pPr>
        <w:pStyle w:val="Heading2"/>
      </w:pPr>
      <w:r>
        <w:t xml:space="preserve">Interaction &amp; Motion Suggestions</w:t>
      </w:r>
    </w:p>
    <w:p>
      <w:pPr>
        <w:pStyle w:val="ListParagraph"/>
        <w:numPr>
          <w:ilvl w:val="0"/>
          <w:numId w:val="2"/>
        </w:numPr>
        <w:spacing w:after="100" w:line="276"/>
      </w:pPr>
      <w:r>
        <w:t xml:space="preserve">Scroll-reveal: sections fade up 12–16px with ~300ms ease-out on first entry into viewport, triggered once only (no re-trigger on scroll-back) — restrained, not a parallax showcase.</w:t>
      </w:r>
    </w:p>
    <w:p>
      <w:pPr>
        <w:pStyle w:val="ListParagraph"/>
        <w:numPr>
          <w:ilvl w:val="0"/>
          <w:numId w:val="2"/>
        </w:numPr>
        <w:spacing w:after="100" w:line="276"/>
      </w:pPr>
      <w:r>
        <w:t xml:space="preserve">Stat tiles: numerals count up from 0 on first viewport entry (600–900ms ease-out), using tabular numerals so digits don't jitter the layout during the count.</w:t>
      </w:r>
    </w:p>
    <w:p>
      <w:pPr>
        <w:pStyle w:val="ListParagraph"/>
        <w:numPr>
          <w:ilvl w:val="0"/>
          <w:numId w:val="2"/>
        </w:numPr>
        <w:spacing w:after="100" w:line="276"/>
      </w:pPr>
      <w:r>
        <w:t xml:space="preserve">Card hover: 2px upward translate + shadow-md (per Phase 4 token), 150–200ms ease, applied to Program, Mentor, and Path Finder cards only — not applied to Testimonial cards, which should feel calmer/editorial rather than interactive.</w:t>
      </w:r>
    </w:p>
    <w:p>
      <w:pPr>
        <w:pStyle w:val="ListParagraph"/>
        <w:numPr>
          <w:ilvl w:val="0"/>
          <w:numId w:val="2"/>
        </w:numPr>
        <w:spacing w:after="100" w:line="276"/>
      </w:pPr>
      <w:r>
        <w:t xml:space="preserve">Logo wall: logos sit at 60% opacity / grayscale at rest, transition to 100% opacity / full color on hover, 200ms ease — signals interactivity without needing a tooltip.</w:t>
      </w:r>
    </w:p>
    <w:p>
      <w:pPr>
        <w:pStyle w:val="ListParagraph"/>
        <w:numPr>
          <w:ilvl w:val="0"/>
          <w:numId w:val="2"/>
        </w:numPr>
        <w:spacing w:after="100" w:line="276"/>
      </w:pPr>
      <w:r>
        <w:t xml:space="preserve">FAQ accordion: height auto-animate on expand/collapse, chevron rotates 180°, only one item open at a time on mobile to manage scroll length (desktop may allow multiple open).</w:t>
      </w:r>
    </w:p>
    <w:p>
      <w:pPr>
        <w:pStyle w:val="ListParagraph"/>
        <w:numPr>
          <w:ilvl w:val="0"/>
          <w:numId w:val="2"/>
        </w:numPr>
        <w:spacing w:after="100" w:line="276"/>
      </w:pPr>
      <w:r>
        <w:t xml:space="preserve">Sticky nav: background transitions from transparent/Ivory to White with shadow-sm after ~80px of scroll, 200ms ease — never appears or disappears abruptly.</w:t>
      </w:r>
    </w:p>
    <w:p>
      <w:pPr>
        <w:pStyle w:val="Heading2"/>
      </w:pPr>
      <w:r>
        <w:t xml:space="preserve">Mobile Adaptations (beyond standard responsive stacking)</w:t>
      </w:r>
    </w:p>
    <w:p>
      <w:pPr>
        <w:pStyle w:val="ListParagraph"/>
        <w:numPr>
          <w:ilvl w:val="0"/>
          <w:numId w:val="2"/>
        </w:numPr>
        <w:spacing w:after="100" w:line="276"/>
      </w:pPr>
      <w:r>
        <w:t xml:space="preserve">Hero: photo moves below the text block (not beside it); the floating proof card becomes an inline element directly under the photo rather than an absolutely-positioned overlay, to avoid overlap issues on narrow viewports.</w:t>
      </w:r>
    </w:p>
    <w:p>
      <w:pPr>
        <w:pStyle w:val="ListParagraph"/>
        <w:numPr>
          <w:ilvl w:val="0"/>
          <w:numId w:val="2"/>
        </w:numPr>
        <w:spacing w:after="100" w:line="276"/>
      </w:pPr>
      <w:r>
        <w:t xml:space="preserve">Trust Bar logo row: becomes a horizontally swipeable strip (scroll-snap) rather than wrapping to multiple rows, to preserve the 'single confident row' feeling at any width.</w:t>
      </w:r>
    </w:p>
    <w:p>
      <w:pPr>
        <w:pStyle w:val="ListParagraph"/>
        <w:numPr>
          <w:ilvl w:val="0"/>
          <w:numId w:val="2"/>
        </w:numPr>
        <w:spacing w:after="100" w:line="276"/>
      </w:pPr>
      <w:r>
        <w:t xml:space="preserve">Metrics Band: 4 tiles become a 2×2 grid, not a single column, to keep numerals visually large and avoid an overly long dark section on mobile.</w:t>
      </w:r>
    </w:p>
    <w:p>
      <w:pPr>
        <w:pStyle w:val="ListParagraph"/>
        <w:numPr>
          <w:ilvl w:val="0"/>
          <w:numId w:val="2"/>
        </w:numPr>
        <w:spacing w:after="100" w:line="276"/>
      </w:pPr>
      <w:r>
        <w:t xml:space="preserve">Comparison Table: first column (attribute labels) becomes sticky/frozen on horizontal scroll; remaining combo columns scroll horizontally with a subtle edge-fade affordance indicating more content.</w:t>
      </w:r>
    </w:p>
    <w:p>
      <w:pPr>
        <w:pStyle w:val="ListParagraph"/>
        <w:numPr>
          <w:ilvl w:val="0"/>
          <w:numId w:val="2"/>
        </w:numPr>
        <w:spacing w:after="100" w:line="276"/>
      </w:pPr>
      <w:r>
        <w:t xml:space="preserve">Final CTA band: both CTAs stack full-width, primary always above secondary, with the reassurance microcopy directly beneath both buttons rather than beside them.</w:t>
      </w:r>
    </w:p>
    <w:p>
      <w:pPr>
        <w:pStyle w:val="ListParagraph"/>
        <w:numPr>
          <w:ilvl w:val="0"/>
          <w:numId w:val="2"/>
        </w:numPr>
        <w:spacing w:after="100" w:line="276"/>
      </w:pPr>
      <w:r>
        <w:t xml:space="preserve">A persistent, slim mobile-only bottom CTA bar (“Enroll Now”) is recommended site-wide on mobile, appearing after the hero is scrolled past — mobile is this audience's dominant surface and the current page has no persistent mobile CTA at all.</w:t>
      </w:r>
    </w:p>
    <w:p>
      <w:pPr>
        <w:pStyle w:val="Heading2"/>
      </w:pPr>
      <w:r>
        <w:t xml:space="preserve">Accessibility Considerations</w:t>
      </w:r>
    </w:p>
    <w:p>
      <w:pPr>
        <w:pStyle w:val="ListParagraph"/>
        <w:numPr>
          <w:ilvl w:val="0"/>
          <w:numId w:val="2"/>
        </w:numPr>
        <w:spacing w:after="100" w:line="276"/>
      </w:pPr>
      <w:r>
        <w:t xml:space="preserve">Color contrast: Navy (#0B1B33) on Ivory (#FAF8F3) exceeds WCAG AA for body text; Gold (#C8962C) on Ivory must be reserved for large text (18px+) or UI elements only, as it sits close to the AA threshold for small body text — never use gold for small-size paragraph copy.</w:t>
      </w:r>
    </w:p>
    <w:p>
      <w:pPr>
        <w:pStyle w:val="ListParagraph"/>
        <w:numPr>
          <w:ilvl w:val="0"/>
          <w:numId w:val="2"/>
        </w:numPr>
        <w:spacing w:after="100" w:line="276"/>
      </w:pPr>
      <w:r>
        <w:t xml:space="preserve">All interactive elements (buttons, accordion triggers, logo-wall items) maintain a minimum 44×44px tap target, consistent with the Phase 4 button sizing spec.</w:t>
      </w:r>
    </w:p>
    <w:p>
      <w:pPr>
        <w:pStyle w:val="ListParagraph"/>
        <w:numPr>
          <w:ilvl w:val="0"/>
          <w:numId w:val="2"/>
        </w:numPr>
        <w:spacing w:after="100" w:line="276"/>
      </w:pPr>
      <w:r>
        <w:t xml:space="preserve">Stat tiles' count-up animation respects prefers-reduced-motion — render the final number directly with no animation for users who have that OS-level preference set.</w:t>
      </w:r>
    </w:p>
    <w:p>
      <w:pPr>
        <w:pStyle w:val="ListParagraph"/>
        <w:numPr>
          <w:ilvl w:val="0"/>
          <w:numId w:val="2"/>
        </w:numPr>
        <w:spacing w:after="100" w:line="276"/>
      </w:pPr>
      <w:r>
        <w:t xml:space="preserve">Comparison table uses real semantic table markup (not div-grids) with proper scope attributes on header cells, so screen readers can navigate it as a table rather than a flat list.</w:t>
      </w:r>
    </w:p>
    <w:p>
      <w:pPr>
        <w:pStyle w:val="ListParagraph"/>
        <w:numPr>
          <w:ilvl w:val="0"/>
          <w:numId w:val="2"/>
        </w:numPr>
        <w:spacing w:after="100" w:line="276"/>
      </w:pPr>
      <w:r>
        <w:t xml:space="preserve">All mentor and testimonial photography includes descriptive alt text (name + credential, e.g. “Mentor headshot: Aisha Verma, IIM Calcutta”) rather than decorative-only alt text.</w:t>
      </w:r>
    </w:p>
    <w:p>
      <w:pPr>
        <w:pStyle w:val="ListParagraph"/>
        <w:numPr>
          <w:ilvl w:val="0"/>
          <w:numId w:val="2"/>
        </w:numPr>
        <w:spacing w:after="100" w:line="276"/>
      </w:pPr>
      <w:r>
        <w:t xml:space="preserve">Focus states are visible and styled intentionally (a 2px gold outline offset by 2px) on every interactive element — not suppressed, which is a common and easily-avoided accessibility failure on image-heavy marketing pages.</w:t>
      </w:r>
    </w:p>
    <w:p>
      <w:pPr>
        <w:pStyle w:val="Heading2"/>
      </w:pPr>
      <w:r>
        <w:t xml:space="preserve">Best Inspiration Chosen, and Why It Wins</w:t>
      </w:r>
    </w:p>
    <w:p>
      <w:pPr>
        <w:spacing w:after="160" w:line="288"/>
      </w:pPr>
      <w:r>
        <w:t xml:space="preserve">Omekaa wins among the five supplied references — not on surface aesthetics (its purple-gradient, rounded-everything skin is explicitly being discarded) but on information architecture. Its section sequence — hero, trust logos, stat band, course grid, feature/proof section, milestone band, testimonials, closing CTA — is structurally the same sequence a premium consulting or enterprise SaaS site would use, and it's the only one of the five that gives proof and numbers real page-level prominence rather than treating them as an afterthought. The other four are evaluated and partially borrowed from (component-level, never structure-level) in Phase 1, but none of them offers a page skeleton worth keeping.</w:t>
      </w:r>
    </w:p>
    <w:p>
      <w:pPr>
        <w:pStyle w:val="Heading2"/>
      </w:pPr>
      <w:r>
        <w:t xml:space="preserve">Final Recommended Design Direction</w:t>
      </w:r>
    </w:p>
    <w:p>
      <w:pPr>
        <w:spacing w:after="160" w:line="288"/>
      </w:pPr>
      <w:r>
        <w:t xml:space="preserve">Build on Omekaa's section skeleton. Replace its entire visual skin with the navy/ivory/brass system specified in Phase 4. Graft in three borrowed components: the course-card anatomy and stat-row pattern from Eduvance, the asymmetric stat-tile treatment and bold closing CTA band from EduLearn, and the floating proof-annotation card from Stwedy — each stripped of its original playful styling and rebuilt in the new system. Add the two structural sections none of the five inspirations have at all, because this brief's business model needs them and theirs didn't: the Guided Path Finder (Section 05) and the Program Comparison Table (Section 07) — both addressing the specific decision-paralysis problem identified on the live mbapartner.in/courses page in Phase 1.</w:t>
      </w:r>
    </w:p>
    <w:p>
      <w:pPr>
        <w:pStyle w:val="Heading2"/>
      </w:pPr>
      <w:r>
        <w:t xml:space="preserve">Confidence Score</w:t>
      </w:r>
    </w:p>
    <w:p>
      <w:pPr>
        <w:spacing w:after="200" w:before="120"/>
      </w:pPr>
      <w:r>
        <w:rPr>
          <w:rFonts w:ascii="Georgia" w:cs="Georgia" w:eastAsia="Georgia" w:hAnsi="Georgia"/>
          <w:b/>
          <w:bCs/>
          <w:color w:val="0B1B33"/>
          <w:sz w:val="56"/>
          <w:szCs w:val="56"/>
        </w:rPr>
        <w:t xml:space="preserve">87 / 100</w:t>
      </w:r>
    </w:p>
    <w:p>
      <w:pPr>
        <w:spacing w:after="160" w:line="288"/>
      </w:pPr>
      <w:r>
        <w:t xml:space="preserve">Confidence is high on strategy, architecture, and design system — these are grounded directly in the actual live page and actual business model, not assumptions. The 13-point deduction reflects three real unknowns I can't resolve without more input: (1) whether real mentor photography and recruiter-logo usage rights are available, since the system's premium feel depends on real photography rather than stock imagery; (2) whether a guarantee/refund policy exists to support the trust-indicator recommendations in Phase 5; and (3) the Phase-1 business-model correction itself — if MBA Partner's strategic intent really is to add upstream admissions consulting (CAT/GMAT, essays, interviews) as a new line rather than staying purely post-admission, several Phase 3 section briefs would need targeted rewrites, though the Phase 4 design system would carry over unchanged.</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2" w:space="4"/>
      </w:pBdr>
      <w:jc w:val="center"/>
    </w:pPr>
    <w:r>
      <w:rPr>
        <w:rFonts w:ascii="Calibri" w:cs="Calibri" w:eastAsia="Calibri" w:hAnsi="Calibri"/>
        <w:color w:val="5B6B7F"/>
        <w:sz w:val="16"/>
        <w:szCs w:val="16"/>
      </w:rPr>
      <w:t xml:space="preserve">Page </w:t>
    </w:r>
    <w:r>
      <w:rPr>
        <w:rFonts w:ascii="Calibri" w:cs="Calibri" w:eastAsia="Calibri" w:hAnsi="Calibri"/>
        <w:color w:val="5B6B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2" w:space="4"/>
      </w:pBdr>
      <w:tabs>
        <w:tab w:val="right" w:pos="9026"/>
      </w:tabs>
    </w:pPr>
    <w:r>
      <w:rPr>
        <w:rFonts w:ascii="Calibri" w:cs="Calibri" w:eastAsia="Calibri" w:hAnsi="Calibri"/>
        <w:color w:val="5B6B7F"/>
        <w:spacing w:val="20"/>
        <w:sz w:val="16"/>
        <w:szCs w:val="16"/>
      </w:rPr>
      <w:t xml:space="preserve">MBA PARTNER</w:t>
    </w:r>
    <w:r>
      <w:rPr>
        <w:rFonts w:ascii="Calibri" w:cs="Calibri" w:eastAsia="Calibri" w:hAnsi="Calibri"/>
        <w:color w:val="5B6B7F"/>
        <w:spacing w:val="20"/>
        <w:sz w:val="16"/>
        <w:szCs w:val="16"/>
      </w:rPr>
      <w:t xml:space="preserve">	COURSES PAGE — DESIGN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rPr>
        <w:color w:val="0B1B33"/>
      </w:rPr>
    </w:lvl>
  </w:abstractNum>
  <w:abstractNum w:abstractNumId="3" w15:restartNumberingAfterBreak="0">
    <w:multiLevelType w:val="hybridMultilevel"/>
    <w:lvl w:ilvl="0" w15:tentative="1">
      <w:start w:val="1"/>
      <w:numFmt w:val="bullet"/>
      <w:lvlText w:val="·"/>
      <w:lvlJc w:val="left"/>
      <w:pPr>
        <w:ind w:left="450" w:hanging="270"/>
      </w:pPr>
    </w:lvl>
  </w:abstractNum>
  <w:abstractNum w:abstractNumId="4" w15:restartNumberingAfterBreak="0">
    <w:multiLevelType w:val="hybridMultilevel"/>
    <w:lvl w:ilvl="0" w15:tentative="1">
      <w:start w:val="1"/>
      <w:numFmt w:val="decimal"/>
      <w:lvlText w:val="%1."/>
      <w:lvlJc w:val="left"/>
      <w:pPr>
        <w:ind w:left="450" w:hanging="270"/>
      </w:pPr>
      <w:rPr>
        <w:b/>
        <w:bCs/>
        <w:color w:val="C8962C"/>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0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962C" w:sz="8" w:space="6"/>
      </w:pBdr>
      <w:spacing w:after="280" w:before="0"/>
      <w:outlineLvl w:val="0"/>
    </w:pPr>
    <w:rPr>
      <w:rFonts w:ascii="Georgia" w:cs="Georgia" w:eastAsia="Georgia" w:hAnsi="Georgia"/>
      <w:b/>
      <w:bCs/>
      <w:color w:val="0B1B33"/>
      <w:sz w:val="36"/>
      <w:szCs w:val="36"/>
    </w:rPr>
  </w:style>
  <w:style w:type="paragraph" w:styleId="Heading2">
    <w:name w:val="Heading 2"/>
    <w:basedOn w:val="Normal"/>
    <w:next w:val="Normal"/>
    <w:qFormat/>
    <w:pPr>
      <w:spacing w:after="160" w:before="360"/>
      <w:outlineLvl w:val="1"/>
    </w:pPr>
    <w:rPr>
      <w:rFonts w:ascii="Georgia" w:cs="Georgia" w:eastAsia="Georgia" w:hAnsi="Georgia"/>
      <w:b/>
      <w:bCs/>
      <w:color w:val="0B1B33"/>
      <w:sz w:val="27"/>
      <w:szCs w:val="27"/>
    </w:rPr>
  </w:style>
  <w:style w:type="paragraph" w:styleId="Heading3">
    <w:name w:val="Heading 3"/>
    <w:basedOn w:val="Normal"/>
    <w:next w:val="Normal"/>
    <w:qFormat/>
    <w:pPr>
      <w:spacing w:after="120" w:before="260"/>
      <w:outlineLvl w:val="2"/>
    </w:pPr>
    <w:rPr>
      <w:rFonts w:ascii="Georgia" w:cs="Georgia" w:eastAsia="Georgia" w:hAnsi="Georgia"/>
      <w:b/>
      <w:bCs/>
      <w:color w:val="0B1B33"/>
      <w:sz w:val="23"/>
      <w:szCs w:val="23"/>
    </w:rPr>
  </w:style>
  <w:style w:type="paragraph" w:styleId="Heading4">
    <w:name w:val="Heading 4"/>
    <w:basedOn w:val="Normal"/>
    <w:next w:val="Normal"/>
    <w:qFormat/>
    <w:pPr>
      <w:spacing w:after="100" w:before="180"/>
      <w:outlineLvl w:val="3"/>
    </w:pPr>
    <w:rPr>
      <w:rFonts w:ascii="Calibri" w:cs="Calibri" w:eastAsia="Calibri" w:hAnsi="Calibri"/>
      <w:b/>
      <w:bCs/>
      <w:color w:val="0B1B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2026-06-20T12:30:40.907Z</dcterms:created>
  <dcterms:modified xsi:type="dcterms:W3CDTF">2026-06-20T12:30:40.907Z</dcterms:modified>
</cp:coreProperties>
</file>

<file path=docProps/custom.xml><?xml version="1.0" encoding="utf-8"?>
<Properties xmlns="http://schemas.openxmlformats.org/officeDocument/2006/custom-properties" xmlns:vt="http://schemas.openxmlformats.org/officeDocument/2006/docPropsVTypes"/>
</file>