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E823" w14:textId="614140E2" w:rsidR="0093596C" w:rsidRDefault="00E229B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proto file for contact &amp; invoice:</w:t>
      </w:r>
    </w:p>
    <w:p w14:paraId="4CFCEA64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B8DEFD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"google/protobuf/duration.proto"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</w:t>
      </w:r>
    </w:p>
    <w:p w14:paraId="75AAA9AF" w14:textId="7B6AF6EF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"google/protobuf/timestamp.proto"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3C8EE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"google/protobuf/wrappers.proto"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42A57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D2512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csharp_namespace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"GrpcDemo"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80CC6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2DF623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1488671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5A5BEA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AddInvoiceItem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AddInvoiceItemRequest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85091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UpdateInvoiceDueDate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UpdateInvoiceDueDateRequest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B95167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D74A4C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E311C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82E002B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C95BA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2CDA39A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0A42E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2B590C7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 = 1;</w:t>
      </w:r>
    </w:p>
    <w:p w14:paraId="6A7FFB9B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 = 2;</w:t>
      </w:r>
    </w:p>
    <w:p w14:paraId="4AE456E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E7B856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9786D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81CF0E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INVOICE_STATUS_UNKNOWN = 0;</w:t>
      </w:r>
    </w:p>
    <w:p w14:paraId="79518422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INVOICE_STATUS_DRAFT = 1;</w:t>
      </w:r>
    </w:p>
    <w:p w14:paraId="4747067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INVOICESTATUS_AWAIT_PAYMENT = 2;</w:t>
      </w:r>
    </w:p>
    <w:p w14:paraId="0AD09FE3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INVOICE_STATUS_PAID = 3;</w:t>
      </w:r>
    </w:p>
    <w:p w14:paraId="00927CF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INVOICE_STATUS_OVERDUE = 4;</w:t>
      </w:r>
    </w:p>
    <w:p w14:paraId="0ED0DDB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D72C24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56B49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AB197AD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street = 1;</w:t>
      </w:r>
    </w:p>
    <w:p w14:paraId="7A149E9D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= 2;</w:t>
      </w:r>
    </w:p>
    <w:p w14:paraId="0415D3EA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state = 3;</w:t>
      </w:r>
    </w:p>
    <w:p w14:paraId="546F7A9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zip_code = 4;</w:t>
      </w:r>
    </w:p>
    <w:p w14:paraId="53BFEB9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= 5;</w:t>
      </w:r>
    </w:p>
    <w:p w14:paraId="04BE0B27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BE7DF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F3E37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66A51E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= 1;</w:t>
      </w:r>
    </w:p>
    <w:p w14:paraId="37D4E68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last_name = 2;</w:t>
      </w:r>
    </w:p>
    <w:p w14:paraId="7D9DB50B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3;</w:t>
      </w:r>
    </w:p>
    <w:p w14:paraId="26375092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4;</w:t>
      </w:r>
    </w:p>
    <w:p w14:paraId="331AC85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year_of_birth = 5;</w:t>
      </w:r>
    </w:p>
    <w:p w14:paraId="25842FCF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is_active = 6;</w:t>
      </w:r>
    </w:p>
    <w:p w14:paraId="5B2AE44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783531A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7DCD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280207D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contact_id = 1;</w:t>
      </w:r>
    </w:p>
    <w:p w14:paraId="486B22F7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29497A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4AEC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UpdateBatchInvoicesStatusRequest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0E2D46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repeated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invoice_ids = 1;</w:t>
      </w:r>
    </w:p>
    <w:p w14:paraId="58FA41E9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 = 2;</w:t>
      </w:r>
    </w:p>
    <w:p w14:paraId="13BF7C16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0815CF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397A6B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UpdateInvoicesStatusRequest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91A3B0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invoice_status_map = 1;</w:t>
      </w:r>
    </w:p>
    <w:p w14:paraId="7E5670EC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5370CBD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F08401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AddInvoiceItemRequest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504EFEF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= 1;</w:t>
      </w:r>
    </w:p>
    <w:p w14:paraId="797567E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description = 2;</w:t>
      </w:r>
    </w:p>
    <w:p w14:paraId="282119F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.DoubleValue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unit_price = 3;</w:t>
      </w:r>
    </w:p>
    <w:p w14:paraId="18ECC510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.Int32Value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 = 4;</w:t>
      </w:r>
    </w:p>
    <w:p w14:paraId="4E50A51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.BoolValue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is_taxable = 5;</w:t>
      </w:r>
    </w:p>
    <w:p w14:paraId="06DB537B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1E5885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36C10E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UpdateInvoiceDueDateRequest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9990EA7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invoice_id = 1;</w:t>
      </w:r>
    </w:p>
    <w:p w14:paraId="1FD3EAF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.Timestamp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due_date = 2;</w:t>
      </w:r>
    </w:p>
    <w:p w14:paraId="1FE9FED1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.Duration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grace_period = 3;</w:t>
      </w:r>
    </w:p>
    <w:p w14:paraId="6EE15FC8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245CE9" w14:textId="77777777" w:rsidR="00E229BE" w:rsidRDefault="00E229BE" w:rsidP="00E22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6FD38" w14:textId="1AB8CE02" w:rsidR="00E229BE" w:rsidRDefault="00783380" w:rsidP="0078338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0C1E7D79" w14:textId="4112ACA5" w:rsidR="00783380" w:rsidRDefault="0078338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476115C" wp14:editId="7C08B4D9">
            <wp:extent cx="5943600" cy="4584700"/>
            <wp:effectExtent l="0" t="0" r="0" b="6350"/>
            <wp:docPr id="5743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2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C024" w14:textId="77777777" w:rsidR="00E47BD6" w:rsidRDefault="00E47BD6" w:rsidP="00E47BD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0F9D7A19" w14:textId="6586356C" w:rsidR="00E47BD6" w:rsidRDefault="00E66BE4">
      <w:pPr>
        <w:rPr>
          <w:rFonts w:ascii="Sakkal Majalla" w:hAnsi="Sakkal Majalla" w:cs="Sakkal Majalla"/>
          <w:sz w:val="28"/>
          <w:szCs w:val="28"/>
        </w:rPr>
      </w:pPr>
      <w:r w:rsidRPr="00E66BE4">
        <w:rPr>
          <w:rFonts w:ascii="Sakkal Majalla" w:hAnsi="Sakkal Majalla" w:cs="Sakkal Majalla"/>
          <w:sz w:val="28"/>
          <w:szCs w:val="28"/>
        </w:rPr>
        <w:lastRenderedPageBreak/>
        <w:t xml:space="preserve">If we try to use a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 xml:space="preserve">reserved field number </w:t>
      </w:r>
      <w:r w:rsidRPr="00E66BE4">
        <w:rPr>
          <w:rFonts w:ascii="Sakkal Majalla" w:hAnsi="Sakkal Majalla" w:cs="Sakkal Majalla"/>
          <w:sz w:val="28"/>
          <w:szCs w:val="28"/>
        </w:rPr>
        <w:t xml:space="preserve">or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>field name</w:t>
      </w:r>
      <w:r w:rsidRPr="00E66BE4">
        <w:rPr>
          <w:rFonts w:ascii="Sakkal Majalla" w:hAnsi="Sakkal Majalla" w:cs="Sakkal Majalla"/>
          <w:sz w:val="28"/>
          <w:szCs w:val="28"/>
        </w:rPr>
        <w:t xml:space="preserve">,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 xml:space="preserve">the gRPC tooling </w:t>
      </w:r>
      <w:r w:rsidRPr="00E66BE4">
        <w:rPr>
          <w:rFonts w:ascii="Sakkal Majalla" w:hAnsi="Sakkal Majalla" w:cs="Sakkal Majalla"/>
          <w:sz w:val="28"/>
          <w:szCs w:val="28"/>
        </w:rPr>
        <w:t xml:space="preserve">will report an error. Note that the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 xml:space="preserve">reserved field names </w:t>
      </w:r>
      <w:r w:rsidRPr="00E66BE4">
        <w:rPr>
          <w:rFonts w:ascii="Sakkal Majalla" w:hAnsi="Sakkal Majalla" w:cs="Sakkal Majalla"/>
          <w:sz w:val="28"/>
          <w:szCs w:val="28"/>
        </w:rPr>
        <w:t xml:space="preserve">should be listed,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>as well as the reserved field numbers</w:t>
      </w:r>
      <w:r w:rsidRPr="00E66BE4">
        <w:rPr>
          <w:rFonts w:ascii="Sakkal Majalla" w:hAnsi="Sakkal Majalla" w:cs="Sakkal Majalla"/>
          <w:sz w:val="28"/>
          <w:szCs w:val="28"/>
        </w:rPr>
        <w:t xml:space="preserve">. This ensures that the JSON and text formats </w:t>
      </w:r>
      <w:r w:rsidRPr="00E66BE4">
        <w:rPr>
          <w:rFonts w:ascii="Sakkal Majalla" w:hAnsi="Sakkal Majalla" w:cs="Sakkal Majalla"/>
          <w:color w:val="C00000"/>
          <w:sz w:val="28"/>
          <w:szCs w:val="28"/>
        </w:rPr>
        <w:t>are backward compatible</w:t>
      </w:r>
      <w:r w:rsidRPr="00E66BE4">
        <w:rPr>
          <w:rFonts w:ascii="Sakkal Majalla" w:hAnsi="Sakkal Majalla" w:cs="Sakkal Majalla"/>
          <w:sz w:val="28"/>
          <w:szCs w:val="28"/>
        </w:rPr>
        <w:t>. When the field names are reserved, they cannot be placed in the same reserved statement with the field numbers.</w:t>
      </w:r>
    </w:p>
    <w:p w14:paraId="1BA85282" w14:textId="77777777" w:rsidR="00E66BE4" w:rsidRDefault="00E66BE4" w:rsidP="00E66BE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1BB57724" w14:textId="34419D28" w:rsidR="00E66BE4" w:rsidRDefault="00EA1DF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use ASP.Net Core API with gRPC Service we need to install:</w:t>
      </w:r>
    </w:p>
    <w:p w14:paraId="578AD587" w14:textId="51C1A543" w:rsidR="00EA1DFE" w:rsidRDefault="003F5EBA" w:rsidP="00D11A2C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CEDE1C5" wp14:editId="6165C8BC">
            <wp:extent cx="2521335" cy="5257800"/>
            <wp:effectExtent l="0" t="0" r="0" b="0"/>
            <wp:docPr id="16828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8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5082" cy="526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DC4" w14:textId="77777777" w:rsidR="00D11A2C" w:rsidRDefault="00D11A2C" w:rsidP="00D11A2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69D053F3" w14:textId="77777777" w:rsidR="00F221D2" w:rsidRDefault="00F221D2" w:rsidP="00341466">
      <w:pPr>
        <w:rPr>
          <w:rFonts w:ascii="Sakkal Majalla" w:hAnsi="Sakkal Majalla" w:cs="Sakkal Majalla"/>
          <w:sz w:val="28"/>
          <w:szCs w:val="28"/>
        </w:rPr>
      </w:pPr>
    </w:p>
    <w:p w14:paraId="2888ADF8" w14:textId="18D2CB5C" w:rsidR="00D11A2C" w:rsidRDefault="00341466" w:rsidP="00341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to configure Web API to use the client:</w:t>
      </w:r>
    </w:p>
    <w:p w14:paraId="0E968134" w14:textId="77777777" w:rsidR="00F221D2" w:rsidRDefault="00F221D2" w:rsidP="00F22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AddGrpcClient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ContactClient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.Address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Uri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"https://localhost:7214"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F03A85C" w14:textId="77777777" w:rsidR="004E61CD" w:rsidRDefault="004E61CD" w:rsidP="004E61C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0649CB29" w14:textId="71E4DCD0" w:rsidR="00341466" w:rsidRDefault="007B48DD" w:rsidP="00341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use it with controller:</w:t>
      </w:r>
    </w:p>
    <w:p w14:paraId="6AD3556B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GrpcDemo;</w:t>
      </w:r>
    </w:p>
    <w:p w14:paraId="4880D3E5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4DD2EF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1CD06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JLokaGrpc.API.Controllers</w:t>
      </w:r>
    </w:p>
    <w:p w14:paraId="674353D7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F45844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4EAF787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526D32E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</w:p>
    <w:p w14:paraId="5D805D15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07FD283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2BBA3EF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8CF871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223E11D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7FFC1D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LogInformation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$"Replay is: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.ContactId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F7B18F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63B0A9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7D2AF2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E560CE" w14:textId="77777777" w:rsidR="00EF5DEC" w:rsidRDefault="00EF5DEC" w:rsidP="00EF5D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89E96E" w14:textId="77777777" w:rsidR="00EF5DEC" w:rsidRDefault="00EF5DEC" w:rsidP="00EF5DE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0B2B4033" w14:textId="0CF893C7" w:rsidR="007B48DD" w:rsidRDefault="00EE3B60" w:rsidP="0034146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749E055" wp14:editId="728EE1E0">
            <wp:extent cx="5943600" cy="1685290"/>
            <wp:effectExtent l="0" t="0" r="0" b="0"/>
            <wp:docPr id="100485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F2D9" w14:textId="77777777" w:rsidR="007404B4" w:rsidRDefault="007404B4" w:rsidP="007404B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19928A00" w14:textId="739A6951" w:rsidR="007404B4" w:rsidRDefault="00FC52F9" w:rsidP="0034146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C73B38" wp14:editId="703CE860">
            <wp:extent cx="5943600" cy="3866515"/>
            <wp:effectExtent l="0" t="0" r="0" b="635"/>
            <wp:docPr id="4971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45DC" w14:textId="286E05EF" w:rsidR="002629C8" w:rsidRDefault="00533FDA" w:rsidP="00F10D5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7E5D5A4F" w14:textId="61E82434" w:rsidR="002629C8" w:rsidRDefault="002629C8" w:rsidP="0034146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1C1D056" wp14:editId="6BCE27F7">
            <wp:extent cx="5582816" cy="3419475"/>
            <wp:effectExtent l="0" t="0" r="0" b="0"/>
            <wp:docPr id="53092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1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233" cy="34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C95F" w14:textId="77777777" w:rsidR="0006168E" w:rsidRDefault="0006168E" w:rsidP="0006168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08544AE4" w14:textId="38B69CEC" w:rsidR="0006168E" w:rsidRDefault="00811B47" w:rsidP="00811B47">
      <w:pPr>
        <w:rPr>
          <w:rFonts w:ascii="Sakkal Majalla" w:hAnsi="Sakkal Majalla" w:cs="Sakkal Majalla"/>
          <w:sz w:val="28"/>
          <w:szCs w:val="28"/>
        </w:rPr>
      </w:pPr>
      <w:r w:rsidRPr="00811B47">
        <w:rPr>
          <w:rFonts w:ascii="Sakkal Majalla" w:hAnsi="Sakkal Majalla" w:cs="Sakkal Majalla"/>
          <w:sz w:val="28"/>
          <w:szCs w:val="28"/>
        </w:rPr>
        <w:lastRenderedPageBreak/>
        <w:t>GraphQL supports enumerations as well. Enumeration types in GraphQL are a special kind of scalar type. They are used to represent a fixed set of values. .NET supports enumeratiopn types very well so that you can use the .NET enum type directly in GraphQL. You can define an enumeration type as follows:</w:t>
      </w:r>
    </w:p>
    <w:p w14:paraId="2C3C1B22" w14:textId="2F9DA461" w:rsidR="00E0732D" w:rsidRDefault="00E0732D" w:rsidP="00811B4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DB7EB63" wp14:editId="7FB93E0A">
            <wp:extent cx="5943600" cy="2830195"/>
            <wp:effectExtent l="0" t="0" r="0" b="8255"/>
            <wp:docPr id="111380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7E5" w14:textId="77777777" w:rsidR="005F2F53" w:rsidRDefault="005F2F53" w:rsidP="005F2F5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601848B4" w14:textId="3507CB21" w:rsidR="005F2F53" w:rsidRDefault="00EE48FC" w:rsidP="00811B4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7089027" wp14:editId="3166AC6E">
            <wp:extent cx="5943600" cy="2974975"/>
            <wp:effectExtent l="0" t="0" r="0" b="0"/>
            <wp:docPr id="26132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5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478F" w14:textId="77777777" w:rsidR="0013614D" w:rsidRDefault="0013614D" w:rsidP="0013614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239BE999" w14:textId="29C54795" w:rsidR="0013614D" w:rsidRDefault="001F0190" w:rsidP="00811B4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7D66E" wp14:editId="758FD5F6">
            <wp:extent cx="5943600" cy="2999105"/>
            <wp:effectExtent l="0" t="0" r="0" b="0"/>
            <wp:docPr id="1505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33BA" w14:textId="77777777" w:rsidR="00392601" w:rsidRDefault="00392601" w:rsidP="0039260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21230B88" w14:textId="7E8C50F4" w:rsidR="00392601" w:rsidRDefault="005060A5" w:rsidP="005060A5">
      <w:pPr>
        <w:rPr>
          <w:rFonts w:ascii="Sakkal Majalla" w:hAnsi="Sakkal Majalla" w:cs="Sakkal Majalla"/>
          <w:sz w:val="28"/>
          <w:szCs w:val="28"/>
        </w:rPr>
      </w:pPr>
      <w:r w:rsidRPr="005060A5">
        <w:rPr>
          <w:rFonts w:ascii="Sakkal Majalla" w:hAnsi="Sakkal Majalla" w:cs="Sakkal Majalla"/>
          <w:sz w:val="28"/>
          <w:szCs w:val="28"/>
        </w:rPr>
        <w:t xml:space="preserve">Every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 xml:space="preserve">GraphQL </w:t>
      </w:r>
      <w:r w:rsidRPr="005060A5">
        <w:rPr>
          <w:rFonts w:ascii="Sakkal Majalla" w:hAnsi="Sakkal Majalla" w:cs="Sakkal Majalla"/>
          <w:sz w:val="28"/>
          <w:szCs w:val="28"/>
        </w:rPr>
        <w:t xml:space="preserve">service must have a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>Query type</w:t>
      </w:r>
      <w:r w:rsidRPr="005060A5">
        <w:rPr>
          <w:rFonts w:ascii="Sakkal Majalla" w:hAnsi="Sakkal Majalla" w:cs="Sakkal Majalla"/>
          <w:sz w:val="28"/>
          <w:szCs w:val="28"/>
        </w:rPr>
        <w:t xml:space="preserve">, but may or may not have a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>Mutation type</w:t>
      </w:r>
      <w:r w:rsidRPr="005060A5">
        <w:rPr>
          <w:rFonts w:ascii="Sakkal Majalla" w:hAnsi="Sakkal Majalla" w:cs="Sakkal Majalla"/>
          <w:sz w:val="28"/>
          <w:szCs w:val="28"/>
        </w:rPr>
        <w:t xml:space="preserve">. </w:t>
      </w:r>
      <w:proofErr w:type="gramStart"/>
      <w:r w:rsidRPr="005060A5">
        <w:rPr>
          <w:rFonts w:ascii="Sakkal Majalla" w:hAnsi="Sakkal Majalla" w:cs="Sakkal Majalla"/>
          <w:sz w:val="28"/>
          <w:szCs w:val="28"/>
        </w:rPr>
        <w:t>So</w:t>
      </w:r>
      <w:proofErr w:type="gramEnd"/>
      <w:r w:rsidRPr="005060A5">
        <w:rPr>
          <w:rFonts w:ascii="Sakkal Majalla" w:hAnsi="Sakkal Majalla" w:cs="Sakkal Majalla"/>
          <w:sz w:val="28"/>
          <w:szCs w:val="28"/>
        </w:rPr>
        <w:t xml:space="preserve"> the teachers query is actually a field of the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>Query type</w:t>
      </w:r>
      <w:r w:rsidRPr="005060A5">
        <w:rPr>
          <w:rFonts w:ascii="Sakkal Majalla" w:hAnsi="Sakkal Majalla" w:cs="Sakkal Majalla"/>
          <w:sz w:val="28"/>
          <w:szCs w:val="28"/>
        </w:rPr>
        <w:t xml:space="preserve">, just like the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 xml:space="preserve">department field </w:t>
      </w:r>
      <w:r w:rsidRPr="005060A5">
        <w:rPr>
          <w:rFonts w:ascii="Sakkal Majalla" w:hAnsi="Sakkal Majalla" w:cs="Sakkal Majalla"/>
          <w:sz w:val="28"/>
          <w:szCs w:val="28"/>
        </w:rPr>
        <w:t xml:space="preserve">in the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>teacher type</w:t>
      </w:r>
      <w:r w:rsidRPr="005060A5">
        <w:rPr>
          <w:rFonts w:ascii="Sakkal Majalla" w:hAnsi="Sakkal Majalla" w:cs="Sakkal Majalla"/>
          <w:sz w:val="28"/>
          <w:szCs w:val="28"/>
        </w:rPr>
        <w:t xml:space="preserve">. </w:t>
      </w:r>
      <w:r w:rsidRPr="00340656">
        <w:rPr>
          <w:rFonts w:ascii="Sakkal Majalla" w:hAnsi="Sakkal Majalla" w:cs="Sakkal Majalla"/>
          <w:color w:val="C00000"/>
          <w:sz w:val="28"/>
          <w:szCs w:val="28"/>
        </w:rPr>
        <w:t xml:space="preserve">Mutations </w:t>
      </w:r>
      <w:r w:rsidRPr="005060A5">
        <w:rPr>
          <w:rFonts w:ascii="Sakkal Majalla" w:hAnsi="Sakkal Majalla" w:cs="Sakkal Majalla"/>
          <w:sz w:val="28"/>
          <w:szCs w:val="28"/>
        </w:rPr>
        <w:t>work in the same way.</w:t>
      </w:r>
    </w:p>
    <w:p w14:paraId="7BE2BF2F" w14:textId="77777777" w:rsidR="00340656" w:rsidRDefault="00340656" w:rsidP="0034065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5588CB0E" w14:textId="1DB49B5B" w:rsidR="00340656" w:rsidRDefault="00130CA1" w:rsidP="005060A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4B8B1E6" wp14:editId="3EC57CF5">
            <wp:extent cx="5943600" cy="1610995"/>
            <wp:effectExtent l="0" t="0" r="0" b="8255"/>
            <wp:docPr id="10541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7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1AD6" w14:textId="77777777" w:rsidR="004E70BF" w:rsidRDefault="004E70BF" w:rsidP="004E70B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3B1FABC1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F844D22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59292C3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CA3A941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1FF36F7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4CCB592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0221424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816C5B0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C701053" w14:textId="0C88808A" w:rsidR="00740B4E" w:rsidRPr="0038786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kern w:val="0"/>
          <w:sz w:val="28"/>
          <w:szCs w:val="28"/>
          <w:highlight w:val="white"/>
        </w:rPr>
      </w:pPr>
      <w:r w:rsidRPr="0038786E">
        <w:rPr>
          <w:rFonts w:ascii="Sakkal Majalla" w:hAnsi="Sakkal Majalla" w:cs="Sakkal Majalla"/>
          <w:kern w:val="0"/>
          <w:sz w:val="28"/>
          <w:szCs w:val="28"/>
          <w:highlight w:val="white"/>
        </w:rPr>
        <w:lastRenderedPageBreak/>
        <w:t>The query type for getting teacher or teachers:</w:t>
      </w:r>
    </w:p>
    <w:p w14:paraId="0948647C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9B0AC6B" w14:textId="166B93EE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JLokaTestGraphQL.Data;</w:t>
      </w:r>
    </w:p>
    <w:p w14:paraId="69D37A0F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JLokaTestGraphQL.Models;</w:t>
      </w:r>
    </w:p>
    <w:p w14:paraId="70FE6E95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6BE541DD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1C9F50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JLokaTestGraphQL.GraphQL.Types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18ACC9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Query</w:t>
      </w:r>
    </w:p>
    <w:p w14:paraId="3BA96400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C6E2AB1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GetTeachers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.Teachers.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.Department).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ToListAsync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CEA8038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68A835" w14:textId="77777777" w:rsidR="00740B4E" w:rsidRDefault="00740B4E" w:rsidP="00740B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=&gt;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.Teachers.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09377B" w14:textId="1F09E647" w:rsidR="004E70BF" w:rsidRDefault="00740B4E" w:rsidP="00740B4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429029B" w14:textId="2AA494B1" w:rsidR="00FF0B9A" w:rsidRDefault="00FF0B9A" w:rsidP="00740B4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-----------------------------------------------------</w:t>
      </w:r>
    </w:p>
    <w:p w14:paraId="368A085E" w14:textId="0E2E4AD6" w:rsidR="00FF0B9A" w:rsidRDefault="00FF0B9A" w:rsidP="00740B4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The mutation for add teacher is:</w:t>
      </w:r>
    </w:p>
    <w:p w14:paraId="4F810ECF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record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departmentId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822F7E4" w14:textId="73866426" w:rsidR="00FF0B9A" w:rsidRDefault="00B83576" w:rsidP="00B83576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</w:t>
      </w:r>
    </w:p>
    <w:p w14:paraId="3A582788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JLokaTestGraphQL.Models;</w:t>
      </w:r>
    </w:p>
    <w:p w14:paraId="62F1693E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5F4B62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JLokaTestGraphQL.GraphQL.Mutations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DBE2F6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AddTeacherPayload</w:t>
      </w:r>
    </w:p>
    <w:p w14:paraId="1A9EFAF2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00DC7E4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BBA5597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AddTeacherPayload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723A94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73E067F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Teacher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8C21F5" w14:textId="77777777" w:rsidR="00B83576" w:rsidRDefault="00B83576" w:rsidP="00B83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C3B137A" w14:textId="07FF9C75" w:rsidR="00B83576" w:rsidRDefault="00B83576" w:rsidP="00B835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A01001" w14:textId="77777777" w:rsidR="00B83576" w:rsidRDefault="00B83576" w:rsidP="00B83576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</w:t>
      </w:r>
    </w:p>
    <w:p w14:paraId="7E0430E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92BB3BD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BA020D1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30D5791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96C3C8C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058C2DF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4B95A76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07482E8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D7C09F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7DE463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9E18CF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19CA8F5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A93B3C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8FEDC93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EB78BD5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D58DA53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1EFC2C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27FEFF3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62894C0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185E0CA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43143A2" w14:textId="6DDF7B30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JLokaTestGraphQL.Data;</w:t>
      </w:r>
    </w:p>
    <w:p w14:paraId="10FC5E38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JLokaTestGraphQL.Models;</w:t>
      </w:r>
    </w:p>
    <w:p w14:paraId="3CB73EF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F69105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JLokaTestGraphQL.GraphQL.Mutations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26551D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Mutation</w:t>
      </w:r>
    </w:p>
    <w:p w14:paraId="2B9C33BF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79E3C1" w14:textId="780D8510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AddTeacherPayload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AddTeacherAsync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2333E3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68A5DF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Teacher</w:t>
      </w:r>
    </w:p>
    <w:p w14:paraId="55437FAE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98623D5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4A197241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FirstName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.FirstName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40F33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LastName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.LastName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FBF696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Email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3ABDB9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Phone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.Phone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18D5C5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Bio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.Bio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1C5271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DepartmentId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9394E9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3CC4A302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AE60F0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.Teachers.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C9AF87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SaveChangesAsync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E5FADCC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AddTeacherPayload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9B708E" w14:textId="77777777" w:rsidR="00487A6B" w:rsidRDefault="00487A6B" w:rsidP="0048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0DC089" w14:textId="5139E4C1" w:rsidR="00B83576" w:rsidRDefault="00487A6B" w:rsidP="00487A6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F437F9" w14:textId="77777777" w:rsidR="00936001" w:rsidRDefault="00936001" w:rsidP="0093600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4AE727F1" w14:textId="571CA010" w:rsidR="00936001" w:rsidRDefault="00BC5674" w:rsidP="00BC5674">
      <w:pPr>
        <w:rPr>
          <w:rFonts w:ascii="Sakkal Majalla" w:hAnsi="Sakkal Majalla" w:cs="Sakkal Majalla"/>
          <w:sz w:val="28"/>
          <w:szCs w:val="28"/>
        </w:rPr>
      </w:pPr>
      <w:r w:rsidRPr="00BC5674">
        <w:rPr>
          <w:rFonts w:ascii="Sakkal Majalla" w:hAnsi="Sakkal Majalla" w:cs="Sakkal Majalla"/>
          <w:sz w:val="28"/>
          <w:szCs w:val="28"/>
        </w:rPr>
        <w:t xml:space="preserve">A resolver is a function that is used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 xml:space="preserve">to retrieve data </w:t>
      </w:r>
      <w:r w:rsidRPr="00BC5674">
        <w:rPr>
          <w:rFonts w:ascii="Sakkal Majalla" w:hAnsi="Sakkal Majalla" w:cs="Sakkal Majalla"/>
          <w:sz w:val="28"/>
          <w:szCs w:val="28"/>
        </w:rPr>
        <w:t xml:space="preserve">from somewhere for a specific field. The resolver is executed when the field is requested in the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query</w:t>
      </w:r>
      <w:r w:rsidRPr="00BC5674">
        <w:rPr>
          <w:rFonts w:ascii="Sakkal Majalla" w:hAnsi="Sakkal Majalla" w:cs="Sakkal Majalla"/>
          <w:sz w:val="28"/>
          <w:szCs w:val="28"/>
        </w:rPr>
        <w:t xml:space="preserve">. The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 xml:space="preserve">resolver can fetch data from </w:t>
      </w:r>
      <w:r w:rsidRPr="00BC5674">
        <w:rPr>
          <w:rFonts w:ascii="Sakkal Majalla" w:hAnsi="Sakkal Majalla" w:cs="Sakkal Majalla"/>
          <w:sz w:val="28"/>
          <w:szCs w:val="28"/>
        </w:rPr>
        <w:t xml:space="preserve">a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database</w:t>
      </w:r>
      <w:r w:rsidRPr="00BC5674">
        <w:rPr>
          <w:rFonts w:ascii="Sakkal Majalla" w:hAnsi="Sakkal Majalla" w:cs="Sakkal Majalla"/>
          <w:sz w:val="28"/>
          <w:szCs w:val="28"/>
        </w:rPr>
        <w:t xml:space="preserve">, a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web API</w:t>
      </w:r>
      <w:r w:rsidRPr="00BC5674">
        <w:rPr>
          <w:rFonts w:ascii="Sakkal Majalla" w:hAnsi="Sakkal Majalla" w:cs="Sakkal Majalla"/>
          <w:sz w:val="28"/>
          <w:szCs w:val="28"/>
        </w:rPr>
        <w:t xml:space="preserve">, or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any other data source</w:t>
      </w:r>
      <w:r w:rsidRPr="00BC5674">
        <w:rPr>
          <w:rFonts w:ascii="Sakkal Majalla" w:hAnsi="Sakkal Majalla" w:cs="Sakkal Majalla"/>
          <w:sz w:val="28"/>
          <w:szCs w:val="28"/>
        </w:rPr>
        <w:t xml:space="preserve">. It will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drill down the graph to retrieve the data for the field</w:t>
      </w:r>
      <w:r w:rsidRPr="00BC5674">
        <w:rPr>
          <w:rFonts w:ascii="Sakkal Majalla" w:hAnsi="Sakkal Majalla" w:cs="Sakkal Majalla"/>
          <w:sz w:val="28"/>
          <w:szCs w:val="28"/>
        </w:rPr>
        <w:t xml:space="preserve">. For example, when the department field is requested in the </w:t>
      </w:r>
      <w:proofErr w:type="gramStart"/>
      <w:r w:rsidRPr="00BC5674">
        <w:rPr>
          <w:rFonts w:ascii="Sakkal Majalla" w:hAnsi="Sakkal Majalla" w:cs="Sakkal Majalla"/>
          <w:sz w:val="28"/>
          <w:szCs w:val="28"/>
        </w:rPr>
        <w:t>teachers</w:t>
      </w:r>
      <w:proofErr w:type="gramEnd"/>
      <w:r w:rsidRPr="00BC5674">
        <w:rPr>
          <w:rFonts w:ascii="Sakkal Majalla" w:hAnsi="Sakkal Majalla" w:cs="Sakkal Majalla"/>
          <w:sz w:val="28"/>
          <w:szCs w:val="28"/>
        </w:rPr>
        <w:t xml:space="preserve"> query, the resolver will retrieve the Department object from the database. But when the query does not specify the department field, the resolver will not be executed. </w:t>
      </w:r>
      <w:r w:rsidRPr="00EB1E60">
        <w:rPr>
          <w:rFonts w:ascii="Sakkal Majalla" w:hAnsi="Sakkal Majalla" w:cs="Sakkal Majalla"/>
          <w:color w:val="C00000"/>
          <w:sz w:val="28"/>
          <w:szCs w:val="28"/>
        </w:rPr>
        <w:t>This can avoid unnecessary database queries</w:t>
      </w:r>
      <w:r w:rsidRPr="00BC5674">
        <w:rPr>
          <w:rFonts w:ascii="Sakkal Majalla" w:hAnsi="Sakkal Majalla" w:cs="Sakkal Majalla"/>
          <w:sz w:val="28"/>
          <w:szCs w:val="28"/>
        </w:rPr>
        <w:t>.</w:t>
      </w:r>
    </w:p>
    <w:p w14:paraId="6E1EC4A2" w14:textId="77777777" w:rsidR="00EB1E60" w:rsidRDefault="00EB1E60" w:rsidP="00EB1E6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63182B62" w14:textId="77777777" w:rsidR="00761F04" w:rsidRDefault="00761F04" w:rsidP="00761F0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45022AAA" w14:textId="77777777" w:rsidR="00761F04" w:rsidRDefault="00761F04" w:rsidP="00761F0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43C99AC4" w14:textId="77777777" w:rsidR="00761F04" w:rsidRDefault="00761F04" w:rsidP="00761F0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33E855E5" w14:textId="77777777" w:rsidR="00761F04" w:rsidRDefault="00761F04" w:rsidP="00761F0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2AF88C09" w14:textId="77777777" w:rsidR="00761F04" w:rsidRDefault="00761F04" w:rsidP="00761F0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35F3287B" w14:textId="7333F2DA" w:rsidR="00761F04" w:rsidRDefault="00761F04" w:rsidP="00761F04">
      <w:pPr>
        <w:rPr>
          <w:rFonts w:ascii="Sakkal Majalla" w:hAnsi="Sakkal Majalla" w:cs="Sakkal Majalla"/>
          <w:sz w:val="28"/>
          <w:szCs w:val="28"/>
        </w:rPr>
      </w:pP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lastRenderedPageBreak/>
        <w:t>HotChocolate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sz w:val="28"/>
          <w:szCs w:val="28"/>
        </w:rPr>
        <w:t xml:space="preserve">supports three ways to define schemas: </w:t>
      </w:r>
    </w:p>
    <w:p w14:paraId="50BD8C14" w14:textId="77777777" w:rsidR="00761F04" w:rsidRDefault="00761F04" w:rsidP="00761F04">
      <w:pPr>
        <w:rPr>
          <w:rFonts w:ascii="Sakkal Majalla" w:hAnsi="Sakkal Majalla" w:cs="Sakkal Majalla"/>
          <w:sz w:val="28"/>
          <w:szCs w:val="28"/>
        </w:rPr>
      </w:pPr>
      <w:r w:rsidRPr="00761F04">
        <w:rPr>
          <w:rFonts w:ascii="Sakkal Majalla" w:hAnsi="Sakkal Majalla" w:cs="Sakkal Majalla"/>
          <w:sz w:val="28"/>
          <w:szCs w:val="28"/>
        </w:rPr>
        <w:t xml:space="preserve">•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Annotation-based</w:t>
      </w:r>
      <w:r w:rsidRPr="00761F04">
        <w:rPr>
          <w:rFonts w:ascii="Sakkal Majalla" w:hAnsi="Sakkal Majalla" w:cs="Sakkal Majalla"/>
          <w:sz w:val="28"/>
          <w:szCs w:val="28"/>
        </w:rPr>
        <w:t xml:space="preserve">: The first way is to use the annotation-based approach, which is what we have been using so far.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HotChocolate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sz w:val="28"/>
          <w:szCs w:val="28"/>
        </w:rPr>
        <w:t xml:space="preserve">automatically converts public properties and methods to a resolver that retrieves data from the data source following conventions. If a method has a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Get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prefix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sz w:val="28"/>
          <w:szCs w:val="28"/>
        </w:rPr>
        <w:t xml:space="preserve">or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an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Async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suffix</w:t>
      </w:r>
      <w:r w:rsidRPr="00761F04">
        <w:rPr>
          <w:rFonts w:ascii="Sakkal Majalla" w:hAnsi="Sakkal Majalla" w:cs="Sakkal Majalla"/>
          <w:sz w:val="28"/>
          <w:szCs w:val="28"/>
        </w:rPr>
        <w:t xml:space="preserve">, these prefixes or suffixes will be removed from the name. </w:t>
      </w:r>
    </w:p>
    <w:p w14:paraId="136B5C28" w14:textId="77777777" w:rsidR="00761F04" w:rsidRDefault="00761F04" w:rsidP="00761F04">
      <w:pPr>
        <w:rPr>
          <w:rFonts w:ascii="Sakkal Majalla" w:hAnsi="Sakkal Majalla" w:cs="Sakkal Majalla"/>
          <w:sz w:val="28"/>
          <w:szCs w:val="28"/>
        </w:rPr>
      </w:pPr>
      <w:r w:rsidRPr="00761F04">
        <w:rPr>
          <w:rFonts w:ascii="Sakkal Majalla" w:hAnsi="Sakkal Majalla" w:cs="Sakkal Majalla"/>
          <w:sz w:val="28"/>
          <w:szCs w:val="28"/>
        </w:rPr>
        <w:t xml:space="preserve">•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Code-first</w:t>
      </w:r>
      <w:r w:rsidRPr="00761F04">
        <w:rPr>
          <w:rFonts w:ascii="Sakkal Majalla" w:hAnsi="Sakkal Majalla" w:cs="Sakkal Majalla"/>
          <w:sz w:val="28"/>
          <w:szCs w:val="28"/>
        </w:rPr>
        <w:t xml:space="preserve">: This approach allows you to define the schema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using explicit types and resolvers</w:t>
      </w:r>
      <w:r w:rsidRPr="00761F04">
        <w:rPr>
          <w:rFonts w:ascii="Sakkal Majalla" w:hAnsi="Sakkal Majalla" w:cs="Sakkal Majalla"/>
          <w:sz w:val="28"/>
          <w:szCs w:val="28"/>
        </w:rPr>
        <w:t>. It uses the Fluent API to define the details of the schema. This approach is more flexible when you need to customize the schema.</w:t>
      </w:r>
    </w:p>
    <w:p w14:paraId="69AEB33B" w14:textId="18BB201C" w:rsidR="00EB1E60" w:rsidRDefault="00761F04" w:rsidP="00761F04">
      <w:pPr>
        <w:rPr>
          <w:rFonts w:ascii="Sakkal Majalla" w:hAnsi="Sakkal Majalla" w:cs="Sakkal Majalla"/>
          <w:sz w:val="28"/>
          <w:szCs w:val="28"/>
        </w:rPr>
      </w:pPr>
      <w:r w:rsidRPr="00761F04">
        <w:rPr>
          <w:rFonts w:ascii="Sakkal Majalla" w:hAnsi="Sakkal Majalla" w:cs="Sakkal Majalla"/>
          <w:sz w:val="28"/>
          <w:szCs w:val="28"/>
        </w:rPr>
        <w:t xml:space="preserve">•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Schema-first</w:t>
      </w:r>
      <w:r w:rsidRPr="00761F04">
        <w:rPr>
          <w:rFonts w:ascii="Sakkal Majalla" w:hAnsi="Sakkal Majalla" w:cs="Sakkal Majalla"/>
          <w:sz w:val="28"/>
          <w:szCs w:val="28"/>
        </w:rPr>
        <w:t xml:space="preserve">: This approach </w:t>
      </w:r>
      <w:r w:rsidRPr="00761F04">
        <w:rPr>
          <w:rFonts w:ascii="Sakkal Majalla" w:hAnsi="Sakkal Majalla" w:cs="Sakkal Majalla"/>
          <w:b/>
          <w:bCs/>
          <w:color w:val="C00000"/>
          <w:sz w:val="28"/>
          <w:szCs w:val="28"/>
        </w:rPr>
        <w:t>allows you to define the schema</w:t>
      </w:r>
      <w:r w:rsidRPr="00761F0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761F04">
        <w:rPr>
          <w:rFonts w:ascii="Sakkal Majalla" w:hAnsi="Sakkal Majalla" w:cs="Sakkal Majalla"/>
          <w:sz w:val="28"/>
          <w:szCs w:val="28"/>
        </w:rPr>
        <w:t>using the GraphQL schema definition language.</w:t>
      </w:r>
    </w:p>
    <w:p w14:paraId="57DC2FDE" w14:textId="77777777" w:rsidR="00761F04" w:rsidRDefault="00761F04" w:rsidP="00761F0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</w:t>
      </w:r>
    </w:p>
    <w:p w14:paraId="7331C840" w14:textId="77777777" w:rsidR="00761F04" w:rsidRPr="00E66BE4" w:rsidRDefault="00761F04" w:rsidP="00761F04">
      <w:pPr>
        <w:rPr>
          <w:rFonts w:ascii="Sakkal Majalla" w:hAnsi="Sakkal Majalla" w:cs="Sakkal Majalla"/>
          <w:sz w:val="28"/>
          <w:szCs w:val="28"/>
        </w:rPr>
      </w:pPr>
    </w:p>
    <w:sectPr w:rsidR="00761F04" w:rsidRPr="00E66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6C"/>
    <w:rsid w:val="0006168E"/>
    <w:rsid w:val="000F15FE"/>
    <w:rsid w:val="00130CA1"/>
    <w:rsid w:val="0013614D"/>
    <w:rsid w:val="001F0190"/>
    <w:rsid w:val="002629C8"/>
    <w:rsid w:val="00266AD1"/>
    <w:rsid w:val="00340656"/>
    <w:rsid w:val="00341466"/>
    <w:rsid w:val="0038786E"/>
    <w:rsid w:val="00392601"/>
    <w:rsid w:val="003F5EBA"/>
    <w:rsid w:val="00487A6B"/>
    <w:rsid w:val="004E61CD"/>
    <w:rsid w:val="004E70BF"/>
    <w:rsid w:val="004F34CE"/>
    <w:rsid w:val="005060A5"/>
    <w:rsid w:val="00533FDA"/>
    <w:rsid w:val="005F2F53"/>
    <w:rsid w:val="007404B4"/>
    <w:rsid w:val="00740B4E"/>
    <w:rsid w:val="00761F04"/>
    <w:rsid w:val="00783380"/>
    <w:rsid w:val="007B48DD"/>
    <w:rsid w:val="00811B47"/>
    <w:rsid w:val="0093596C"/>
    <w:rsid w:val="00936001"/>
    <w:rsid w:val="00A865F8"/>
    <w:rsid w:val="00B83576"/>
    <w:rsid w:val="00BC5674"/>
    <w:rsid w:val="00CF6490"/>
    <w:rsid w:val="00D11A2C"/>
    <w:rsid w:val="00E0732D"/>
    <w:rsid w:val="00E229BE"/>
    <w:rsid w:val="00E47BD6"/>
    <w:rsid w:val="00E66BE4"/>
    <w:rsid w:val="00EA1DFE"/>
    <w:rsid w:val="00EB1E60"/>
    <w:rsid w:val="00EE3B60"/>
    <w:rsid w:val="00EE48FC"/>
    <w:rsid w:val="00EF5DEC"/>
    <w:rsid w:val="00F10D52"/>
    <w:rsid w:val="00F221D2"/>
    <w:rsid w:val="00F86C94"/>
    <w:rsid w:val="00FA2253"/>
    <w:rsid w:val="00FC52F9"/>
    <w:rsid w:val="00F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2A21"/>
  <w15:chartTrackingRefBased/>
  <w15:docId w15:val="{85605CA6-4A69-49E7-9069-5727B0D4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42</cp:revision>
  <dcterms:created xsi:type="dcterms:W3CDTF">2026-01-31T06:21:00Z</dcterms:created>
  <dcterms:modified xsi:type="dcterms:W3CDTF">2026-02-08T11:07:00Z</dcterms:modified>
</cp:coreProperties>
</file>