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88807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1B675A2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28E2860B" w14:textId="77777777" w:rsidTr="002672A0">
        <w:tc>
          <w:tcPr>
            <w:tcW w:w="2263" w:type="dxa"/>
          </w:tcPr>
          <w:p w14:paraId="66FA22F8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51C62A8" w14:textId="19031918" w:rsidR="00AA46ED" w:rsidRPr="007B46B7" w:rsidRDefault="00B04E5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="002F2DEE">
              <w:rPr>
                <w:rFonts w:ascii="Tahoma" w:hAnsi="Tahoma" w:cs="Tahoma"/>
                <w:sz w:val="20"/>
                <w:szCs w:val="20"/>
              </w:rPr>
              <w:t>reas Básicas</w:t>
            </w:r>
          </w:p>
        </w:tc>
        <w:tc>
          <w:tcPr>
            <w:tcW w:w="3249" w:type="dxa"/>
          </w:tcPr>
          <w:p w14:paraId="4D018359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4E18CFA3" w14:textId="4F4711FD" w:rsidR="00AA46ED" w:rsidRPr="007B46B7" w:rsidRDefault="00B04E53">
            <w:pPr>
              <w:rPr>
                <w:rFonts w:ascii="Tahoma" w:hAnsi="Tahoma" w:cs="Tahoma"/>
                <w:sz w:val="20"/>
                <w:szCs w:val="20"/>
              </w:rPr>
            </w:pPr>
            <w:r w:rsidRPr="00B04E53">
              <w:rPr>
                <w:rFonts w:ascii="Tahoma" w:hAnsi="Tahoma" w:cs="Tahoma"/>
                <w:sz w:val="20"/>
                <w:szCs w:val="20"/>
              </w:rPr>
              <w:t>Estadística Inferencial</w:t>
            </w:r>
          </w:p>
        </w:tc>
      </w:tr>
      <w:tr w:rsidR="00AA46ED" w:rsidRPr="007B46B7" w14:paraId="4C170CFF" w14:textId="77777777" w:rsidTr="002672A0">
        <w:tc>
          <w:tcPr>
            <w:tcW w:w="2263" w:type="dxa"/>
          </w:tcPr>
          <w:p w14:paraId="153D28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6636E65F" w14:textId="3ACE242C" w:rsidR="00AA46ED" w:rsidRPr="007B46B7" w:rsidRDefault="002F2DE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</w:t>
            </w:r>
            <w:r w:rsidR="00BA3472">
              <w:rPr>
                <w:rFonts w:ascii="Tahoma" w:hAnsi="Tahoma" w:cs="Tahoma"/>
                <w:sz w:val="20"/>
                <w:szCs w:val="20"/>
              </w:rPr>
              <w:t>lica y Finanzas</w:t>
            </w:r>
          </w:p>
        </w:tc>
        <w:tc>
          <w:tcPr>
            <w:tcW w:w="3249" w:type="dxa"/>
          </w:tcPr>
          <w:p w14:paraId="6330AE5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5D9C312A" w14:textId="2A19B7B3" w:rsidR="00AA46ED" w:rsidRPr="007B46B7" w:rsidRDefault="00BA347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CPF-II-</w:t>
            </w:r>
            <w:r w:rsidR="005F236C">
              <w:rPr>
                <w:rFonts w:ascii="Tahoma" w:hAnsi="Tahoma" w:cs="Tahoma"/>
                <w:sz w:val="20"/>
                <w:szCs w:val="20"/>
              </w:rPr>
              <w:t>MAT</w:t>
            </w:r>
          </w:p>
        </w:tc>
      </w:tr>
      <w:tr w:rsidR="003C0FAB" w:rsidRPr="007B46B7" w14:paraId="15CA4590" w14:textId="77777777" w:rsidTr="002672A0">
        <w:trPr>
          <w:trHeight w:val="143"/>
        </w:trPr>
        <w:tc>
          <w:tcPr>
            <w:tcW w:w="2263" w:type="dxa"/>
          </w:tcPr>
          <w:p w14:paraId="2B5A6C54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6FA9640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1662F6E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6DA60993" w14:textId="27771DE4" w:rsidR="003C0FAB" w:rsidRPr="007B46B7" w:rsidRDefault="003C536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</w:tr>
      <w:tr w:rsidR="003C0FAB" w:rsidRPr="007B46B7" w14:paraId="7757DA9B" w14:textId="77777777" w:rsidTr="002672A0">
        <w:trPr>
          <w:trHeight w:val="143"/>
        </w:trPr>
        <w:tc>
          <w:tcPr>
            <w:tcW w:w="2263" w:type="dxa"/>
          </w:tcPr>
          <w:p w14:paraId="0BDB7437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7D061FB8" w14:textId="201B917D" w:rsidR="003C0FAB" w:rsidRPr="007B46B7" w:rsidRDefault="006E30FE">
            <w:pPr>
              <w:rPr>
                <w:rFonts w:ascii="Tahoma" w:hAnsi="Tahoma" w:cs="Tahoma"/>
                <w:sz w:val="20"/>
                <w:szCs w:val="20"/>
              </w:rPr>
            </w:pPr>
            <w:r w:rsidRPr="006E30FE">
              <w:rPr>
                <w:rFonts w:ascii="Tahoma" w:hAnsi="Tahoma" w:cs="Tahoma"/>
                <w:sz w:val="20"/>
                <w:szCs w:val="20"/>
              </w:rPr>
              <w:t>Lunes, 07 de agosto de 2023</w:t>
            </w:r>
          </w:p>
        </w:tc>
        <w:tc>
          <w:tcPr>
            <w:tcW w:w="3249" w:type="dxa"/>
          </w:tcPr>
          <w:p w14:paraId="6EFBC975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4C6C71D5" w14:textId="2663F4CD" w:rsidR="003C0FAB" w:rsidRPr="007B46B7" w:rsidRDefault="006E30FE">
            <w:pPr>
              <w:rPr>
                <w:rFonts w:ascii="Tahoma" w:hAnsi="Tahoma" w:cs="Tahoma"/>
                <w:sz w:val="20"/>
                <w:szCs w:val="20"/>
              </w:rPr>
            </w:pPr>
            <w:r w:rsidRPr="006E30FE">
              <w:rPr>
                <w:rFonts w:ascii="Tahoma" w:hAnsi="Tahoma" w:cs="Tahoma"/>
                <w:sz w:val="20"/>
                <w:szCs w:val="20"/>
              </w:rPr>
              <w:t>Viernes, 10 noviembre de 2023</w:t>
            </w:r>
          </w:p>
        </w:tc>
      </w:tr>
    </w:tbl>
    <w:p w14:paraId="006A7189" w14:textId="77777777" w:rsidR="009D6C53" w:rsidRDefault="009D6C53">
      <w:pPr>
        <w:rPr>
          <w:sz w:val="18"/>
          <w:szCs w:val="18"/>
        </w:rPr>
      </w:pPr>
    </w:p>
    <w:p w14:paraId="0E9246C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053"/>
        <w:gridCol w:w="3544"/>
        <w:gridCol w:w="1784"/>
        <w:gridCol w:w="1693"/>
        <w:gridCol w:w="1300"/>
      </w:tblGrid>
      <w:tr w:rsidR="00486909" w14:paraId="312CFF4D" w14:textId="77777777" w:rsidTr="00D274C9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1CB0ED2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053" w:type="dxa"/>
            <w:shd w:val="clear" w:color="auto" w:fill="143AB4"/>
            <w:vAlign w:val="center"/>
          </w:tcPr>
          <w:p w14:paraId="4A868F07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4" w:type="dxa"/>
            <w:shd w:val="clear" w:color="auto" w:fill="143AB4"/>
            <w:vAlign w:val="center"/>
          </w:tcPr>
          <w:p w14:paraId="2729D4ED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0ADA4DE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3EC8863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543931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675603" w14:paraId="32005721" w14:textId="77777777" w:rsidTr="00A5110E">
        <w:trPr>
          <w:trHeight w:val="2254"/>
          <w:jc w:val="center"/>
        </w:trPr>
        <w:tc>
          <w:tcPr>
            <w:tcW w:w="1620" w:type="dxa"/>
            <w:vAlign w:val="center"/>
          </w:tcPr>
          <w:p w14:paraId="2D524671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2479EBF5" w14:textId="4865183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B55DF0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Unidad I. Distribuciones Muéstrales</w:t>
            </w:r>
          </w:p>
          <w:p w14:paraId="5DE17B9B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1.1. Error de muestreo</w:t>
            </w:r>
          </w:p>
          <w:p w14:paraId="2E4FC4B9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1.2. Distribución de medias muestrales</w:t>
            </w:r>
          </w:p>
          <w:p w14:paraId="453AB7C3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1.3. Distribuciones muestrales de proporciones</w:t>
            </w:r>
          </w:p>
          <w:p w14:paraId="745DCFD8" w14:textId="78A88369" w:rsidR="00675603" w:rsidRPr="000A6A43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1.4. Aplicaciones de conceptos estadísticos al mundo de los negocios.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7457F" w14:textId="614A4D76" w:rsidR="003E1D73" w:rsidRPr="003E1D73" w:rsidRDefault="003E1D73" w:rsidP="003E1D73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Describir conceptos, definiciones y teoremas relacionados con distribuciones muéstrales.</w:t>
            </w:r>
          </w:p>
          <w:p w14:paraId="2D221E70" w14:textId="77777777" w:rsidR="003E1D73" w:rsidRPr="003E1D73" w:rsidRDefault="003E1D73" w:rsidP="003E1D73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Construir una distribución de la muestra con las medias y proporciones muéstrales.</w:t>
            </w:r>
          </w:p>
          <w:p w14:paraId="10F66790" w14:textId="77777777" w:rsidR="003E1D73" w:rsidRPr="003E1D73" w:rsidRDefault="003E1D73" w:rsidP="003E1D73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Aplicar el teorema central del límite para calcular probabilidades, de seleccionar probabilidades posibles de medias muéstrales de una población específica.</w:t>
            </w:r>
          </w:p>
          <w:p w14:paraId="4DFB9A5D" w14:textId="57EFAD9E" w:rsidR="00675603" w:rsidRPr="000A6A43" w:rsidRDefault="003E1D73" w:rsidP="003E1D73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Apreciar la utilidad del teorema central del límite, al permitir emplear estadísticos de muestras para hacer inferencia, con respecto a los parámetros poblacionales</w:t>
            </w:r>
          </w:p>
        </w:tc>
        <w:tc>
          <w:tcPr>
            <w:tcW w:w="1784" w:type="dxa"/>
            <w:vAlign w:val="center"/>
          </w:tcPr>
          <w:p w14:paraId="485DB63B" w14:textId="4074C3DA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E24C41C" w14:textId="5A8A4C3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F416D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384355E" w14:textId="431E4F72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48096739" w14:textId="77777777" w:rsidTr="00803841">
        <w:trPr>
          <w:trHeight w:val="1614"/>
          <w:jc w:val="center"/>
        </w:trPr>
        <w:tc>
          <w:tcPr>
            <w:tcW w:w="1620" w:type="dxa"/>
            <w:vAlign w:val="center"/>
          </w:tcPr>
          <w:p w14:paraId="06172E04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521B49C1" w14:textId="424CF4F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96DF8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Unidad II. Estimaciones</w:t>
            </w:r>
          </w:p>
          <w:p w14:paraId="57EC9451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2.1 Estimaciones puntuales y de intervalo para una media poblacional.</w:t>
            </w:r>
          </w:p>
          <w:p w14:paraId="7BE956DD" w14:textId="2A02BD5F" w:rsidR="00675603" w:rsidRPr="000A6A43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2.2 Estimaciones puntuales y de intervalos para las proporciones de una población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73B5E" w14:textId="7BA001EE" w:rsidR="00D274C9" w:rsidRPr="00D274C9" w:rsidRDefault="00D274C9" w:rsidP="00D274C9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Desarrollar esquemas conceptuales de la estimación estadística a situaciones del ámbito empresarial, donde se ponga de manifiesto el pensamiento probabilístico, realizando interpretaciones válidas de los resultados.</w:t>
            </w:r>
          </w:p>
          <w:p w14:paraId="41B64FC0" w14:textId="259EB43C" w:rsidR="00675603" w:rsidRPr="000A6A43" w:rsidRDefault="00D274C9" w:rsidP="00D274C9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Evaluar con argumentos estadísticos, el ajuste de un modelo probabilístico a la realidad experimental y proponer medidas que mejoren el proceso, en base a los resultados obtenidos.</w:t>
            </w:r>
          </w:p>
        </w:tc>
        <w:tc>
          <w:tcPr>
            <w:tcW w:w="1784" w:type="dxa"/>
            <w:vAlign w:val="center"/>
          </w:tcPr>
          <w:p w14:paraId="0A1E4F25" w14:textId="1E4B969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CF027A" w14:textId="54DBC86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B9ED976" w14:textId="19861E46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345C5200" w14:textId="77777777" w:rsidTr="00A5110E">
        <w:trPr>
          <w:trHeight w:val="2040"/>
          <w:jc w:val="center"/>
        </w:trPr>
        <w:tc>
          <w:tcPr>
            <w:tcW w:w="1620" w:type="dxa"/>
            <w:vAlign w:val="center"/>
          </w:tcPr>
          <w:p w14:paraId="4EBF74A6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  <w:p w14:paraId="2BC9CA27" w14:textId="21EADFA5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806B91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2.3 Estimaciones con muestras pequeñas.</w:t>
            </w:r>
          </w:p>
          <w:p w14:paraId="39AB7923" w14:textId="77777777" w:rsidR="009624D0" w:rsidRPr="009624D0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2.4 Tamaño de muestra y error de estimación.</w:t>
            </w:r>
          </w:p>
          <w:p w14:paraId="775D08D7" w14:textId="0252F6EE" w:rsidR="00675603" w:rsidRPr="000A6A43" w:rsidRDefault="009624D0" w:rsidP="009624D0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2.5 Aplicación de conceptos estadísticos al mundo de los negocios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871189" w14:textId="2B11D0DD" w:rsidR="00D274C9" w:rsidRPr="00D274C9" w:rsidRDefault="00D274C9" w:rsidP="00D274C9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Determinar estimaciones de intervalo para una media y una proporción poblacional, así como el tamaño de la muestra y error tolerable máximo requerido, para un problema de estimación.</w:t>
            </w:r>
          </w:p>
          <w:p w14:paraId="472915AB" w14:textId="7160F07D" w:rsidR="00675603" w:rsidRPr="000A6A43" w:rsidRDefault="00D274C9" w:rsidP="00D274C9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Evaluar la relevancia de los intervalos de confianza para aproximar una vez calculado el valor de la variable en la muestra de la población en estudio de carácter económico, financiero y comercial.</w:t>
            </w:r>
          </w:p>
        </w:tc>
        <w:tc>
          <w:tcPr>
            <w:tcW w:w="1784" w:type="dxa"/>
            <w:vAlign w:val="center"/>
          </w:tcPr>
          <w:p w14:paraId="0E311AD0" w14:textId="13C5BE62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CDE614D" w14:textId="2425614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A47823E" w14:textId="27020725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803841" w14:paraId="590B0998" w14:textId="77777777" w:rsidTr="003E1D73">
        <w:trPr>
          <w:trHeight w:val="1403"/>
          <w:jc w:val="center"/>
        </w:trPr>
        <w:tc>
          <w:tcPr>
            <w:tcW w:w="1620" w:type="dxa"/>
            <w:vAlign w:val="center"/>
          </w:tcPr>
          <w:p w14:paraId="5318CCF2" w14:textId="77777777" w:rsidR="00803841" w:rsidRDefault="00803841" w:rsidP="008038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54C29CCB" w14:textId="797B53E6" w:rsidR="00803841" w:rsidRDefault="00803841" w:rsidP="008038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4BBEAF" w14:textId="415A22F9" w:rsidR="00803841" w:rsidRPr="009624D0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Unidad III. Prueba</w:t>
            </w:r>
            <w:r w:rsidRPr="009624D0">
              <w:rPr>
                <w:rFonts w:ascii="Tahoma" w:hAnsi="Tahoma" w:cs="Tahoma"/>
                <w:sz w:val="16"/>
                <w:szCs w:val="16"/>
              </w:rPr>
              <w:tab/>
              <w:t>de hipótesis: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624D0">
              <w:rPr>
                <w:rFonts w:ascii="Tahoma" w:hAnsi="Tahoma" w:cs="Tahoma"/>
                <w:sz w:val="16"/>
                <w:szCs w:val="16"/>
              </w:rPr>
              <w:t xml:space="preserve">Una y </w:t>
            </w:r>
            <w:r>
              <w:rPr>
                <w:rFonts w:ascii="Tahoma" w:hAnsi="Tahoma" w:cs="Tahoma"/>
                <w:sz w:val="16"/>
                <w:szCs w:val="16"/>
              </w:rPr>
              <w:t>Dos</w:t>
            </w:r>
            <w:r w:rsidRPr="009624D0">
              <w:rPr>
                <w:rFonts w:ascii="Tahoma" w:hAnsi="Tahoma" w:cs="Tahoma"/>
                <w:sz w:val="16"/>
                <w:szCs w:val="16"/>
              </w:rPr>
              <w:t xml:space="preserve"> poblaciones.</w:t>
            </w:r>
          </w:p>
          <w:p w14:paraId="60DF1B49" w14:textId="77777777" w:rsidR="00803841" w:rsidRPr="009624D0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3.1 Errores en pruebas de hipótesis</w:t>
            </w:r>
          </w:p>
          <w:p w14:paraId="49060CEF" w14:textId="6A26A5F2" w:rsidR="00803841" w:rsidRPr="000A6A43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3.2Pruebas de hipótesis sobre la media de una población, muestras grandes y muestras pequeñas.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B09F7" w14:textId="3A36CAAE" w:rsidR="00803841" w:rsidRPr="000A6A43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F867C8">
              <w:rPr>
                <w:rFonts w:ascii="Tahoma" w:hAnsi="Tahoma" w:cs="Tahoma"/>
                <w:sz w:val="16"/>
                <w:szCs w:val="16"/>
              </w:rPr>
              <w:t>Determinar la validez de los supuestos poblacionales a partir del método de prueba de hipótesis para una y dos poblaciones.</w:t>
            </w:r>
          </w:p>
        </w:tc>
        <w:tc>
          <w:tcPr>
            <w:tcW w:w="1784" w:type="dxa"/>
            <w:vAlign w:val="center"/>
          </w:tcPr>
          <w:p w14:paraId="7629F3BD" w14:textId="2633260F" w:rsidR="00803841" w:rsidRPr="000A6A43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787D8A" w14:textId="472DA2D1" w:rsidR="00803841" w:rsidRPr="000A6A43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374F5EB" w14:textId="7EB1B38E" w:rsidR="00803841" w:rsidRPr="000A6A43" w:rsidRDefault="00C140EA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1B6CA7D5" w14:textId="77777777" w:rsidTr="003E1D73">
        <w:trPr>
          <w:trHeight w:val="1423"/>
          <w:jc w:val="center"/>
        </w:trPr>
        <w:tc>
          <w:tcPr>
            <w:tcW w:w="1620" w:type="dxa"/>
            <w:vAlign w:val="center"/>
          </w:tcPr>
          <w:p w14:paraId="46F8495E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177BE22A" w14:textId="3E237A4F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32F44" w14:textId="77777777" w:rsidR="00CA660C" w:rsidRPr="00CA660C" w:rsidRDefault="00CA660C" w:rsidP="00CA660C">
            <w:pPr>
              <w:rPr>
                <w:rFonts w:ascii="Tahoma" w:hAnsi="Tahoma" w:cs="Tahoma"/>
                <w:sz w:val="16"/>
                <w:szCs w:val="16"/>
              </w:rPr>
            </w:pPr>
            <w:r w:rsidRPr="00CA660C">
              <w:rPr>
                <w:rFonts w:ascii="Tahoma" w:hAnsi="Tahoma" w:cs="Tahoma"/>
                <w:sz w:val="16"/>
                <w:szCs w:val="16"/>
              </w:rPr>
              <w:t>3.3 Pruebas de hipótesis sobre la proporción de una población.</w:t>
            </w:r>
          </w:p>
          <w:p w14:paraId="06A025DA" w14:textId="64390F01" w:rsidR="00675603" w:rsidRPr="000A6A43" w:rsidRDefault="00CA660C" w:rsidP="00CA660C">
            <w:pPr>
              <w:rPr>
                <w:rFonts w:ascii="Tahoma" w:hAnsi="Tahoma" w:cs="Tahoma"/>
                <w:sz w:val="16"/>
                <w:szCs w:val="16"/>
              </w:rPr>
            </w:pPr>
            <w:r w:rsidRPr="00CA660C">
              <w:rPr>
                <w:rFonts w:ascii="Tahoma" w:hAnsi="Tahoma" w:cs="Tahoma"/>
                <w:sz w:val="16"/>
                <w:szCs w:val="16"/>
              </w:rPr>
              <w:t>3.4 Pruebas de hipótesis sobre la diferencia entre las medias y proporciones de dos poblaciones, en muestras grandes y pequeñas.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D8BF56" w14:textId="08B3D1CA" w:rsidR="00675603" w:rsidRPr="000A6A43" w:rsidRDefault="00F867C8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F867C8">
              <w:rPr>
                <w:rFonts w:ascii="Tahoma" w:hAnsi="Tahoma" w:cs="Tahoma"/>
                <w:sz w:val="16"/>
                <w:szCs w:val="16"/>
              </w:rPr>
              <w:t>Contrastar pruebas de hipótesis sobre medias y proporciones poblacionales, para una y dos poblaciones.</w:t>
            </w:r>
          </w:p>
        </w:tc>
        <w:tc>
          <w:tcPr>
            <w:tcW w:w="1784" w:type="dxa"/>
            <w:vAlign w:val="center"/>
          </w:tcPr>
          <w:p w14:paraId="3E31275A" w14:textId="4C145772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EBF6AC1" w14:textId="436B9DBC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06F5DC2" w14:textId="22635B13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7674AD4D" w14:textId="77777777" w:rsidTr="00A5110E">
        <w:trPr>
          <w:trHeight w:val="679"/>
          <w:jc w:val="center"/>
        </w:trPr>
        <w:tc>
          <w:tcPr>
            <w:tcW w:w="1620" w:type="dxa"/>
            <w:vAlign w:val="center"/>
          </w:tcPr>
          <w:p w14:paraId="1558A27C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406EFA8" w14:textId="045E2B98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4E2B6" w14:textId="36491579" w:rsidR="00675603" w:rsidRPr="000A6A43" w:rsidRDefault="00CA660C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A660C">
              <w:rPr>
                <w:rFonts w:ascii="Tahoma" w:hAnsi="Tahoma" w:cs="Tahoma"/>
                <w:sz w:val="16"/>
                <w:szCs w:val="16"/>
              </w:rPr>
              <w:t>3.5 Pruebas Chi Cuadrada de Independencia.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A426C" w14:textId="1D72C410" w:rsidR="00675603" w:rsidRPr="000A6A43" w:rsidRDefault="00F867C8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F867C8">
              <w:rPr>
                <w:rFonts w:ascii="Tahoma" w:hAnsi="Tahoma" w:cs="Tahoma"/>
                <w:sz w:val="16"/>
                <w:szCs w:val="16"/>
              </w:rPr>
              <w:t>Apreciar la importancia de pruebas de hipótesis para presentar resultados con mayor certidumbre en situaciones de negocios.</w:t>
            </w:r>
          </w:p>
        </w:tc>
        <w:tc>
          <w:tcPr>
            <w:tcW w:w="1784" w:type="dxa"/>
            <w:vAlign w:val="center"/>
          </w:tcPr>
          <w:p w14:paraId="45730F10" w14:textId="32250DFF" w:rsidR="00675603" w:rsidRPr="000A6A43" w:rsidRDefault="00A5110E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A5110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A15ACF4" w14:textId="4EA7A99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C990C2B" w14:textId="4CF87A1F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1796DB76" w14:textId="77777777" w:rsidTr="003E1D73">
        <w:trPr>
          <w:trHeight w:val="886"/>
          <w:jc w:val="center"/>
        </w:trPr>
        <w:tc>
          <w:tcPr>
            <w:tcW w:w="1620" w:type="dxa"/>
            <w:vAlign w:val="center"/>
          </w:tcPr>
          <w:p w14:paraId="4861DE39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75296173" w14:textId="6D971C60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8C69FE" w14:textId="59288FC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B20CB" w14:textId="041FA2C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por los estudiantes en la primera parte del trimestre </w:t>
            </w:r>
          </w:p>
        </w:tc>
        <w:tc>
          <w:tcPr>
            <w:tcW w:w="1784" w:type="dxa"/>
            <w:vAlign w:val="center"/>
          </w:tcPr>
          <w:p w14:paraId="03B5FEB1" w14:textId="4CB46098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77F871D6" w14:textId="3EEA78D1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1341F06" w14:textId="4429BC5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75603" w14:paraId="626D506A" w14:textId="77777777" w:rsidTr="00C706C5">
        <w:trPr>
          <w:trHeight w:val="1453"/>
          <w:jc w:val="center"/>
        </w:trPr>
        <w:tc>
          <w:tcPr>
            <w:tcW w:w="1620" w:type="dxa"/>
            <w:vAlign w:val="center"/>
          </w:tcPr>
          <w:p w14:paraId="102B74AE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116DECC7" w14:textId="6E280296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2912FE" w14:textId="77777777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Unidad IV. Análisis de la Varianza</w:t>
            </w:r>
          </w:p>
          <w:p w14:paraId="40CA48E1" w14:textId="3BB16643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4.1</w:t>
            </w:r>
            <w:r w:rsidR="00FA5C6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Prueba de varianza con una y dos poblaciones.</w:t>
            </w:r>
          </w:p>
          <w:p w14:paraId="2B5AB8D4" w14:textId="272E70FD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4.2</w:t>
            </w:r>
            <w:r w:rsidR="00FA5C6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Método dentro y Método entre</w:t>
            </w:r>
          </w:p>
          <w:p w14:paraId="527175BB" w14:textId="495ABA4E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4.3</w:t>
            </w:r>
            <w:r w:rsidR="00FA5C6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Procedimiento de análisis de varianza</w:t>
            </w:r>
          </w:p>
          <w:p w14:paraId="41213688" w14:textId="70AEA007" w:rsidR="00675603" w:rsidRPr="000A6A43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4.4</w:t>
            </w:r>
            <w:r w:rsidR="00FA5C6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La tabla ANOVA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3777A" w14:textId="16CECC13" w:rsidR="007D1DFB" w:rsidRPr="007D1DFB" w:rsidRDefault="007D1DFB" w:rsidP="007D1DFB">
            <w:pPr>
              <w:rPr>
                <w:rFonts w:ascii="Tahoma" w:hAnsi="Tahoma" w:cs="Tahoma"/>
                <w:sz w:val="16"/>
                <w:szCs w:val="16"/>
              </w:rPr>
            </w:pPr>
            <w:r w:rsidRPr="007D1DFB">
              <w:rPr>
                <w:rFonts w:ascii="Tahoma" w:hAnsi="Tahoma" w:cs="Tahoma"/>
                <w:sz w:val="16"/>
                <w:szCs w:val="16"/>
              </w:rPr>
              <w:t>Analizar características de la distribución Fisher, prueba de hipótesis, para la diferencia entre dos varianzas y el enfoque de ANOVAS</w:t>
            </w:r>
          </w:p>
          <w:p w14:paraId="3235C7A3" w14:textId="092CCFC6" w:rsidR="00675603" w:rsidRPr="000A6A43" w:rsidRDefault="007D1DFB" w:rsidP="007D1DFB">
            <w:pPr>
              <w:rPr>
                <w:rFonts w:ascii="Tahoma" w:hAnsi="Tahoma" w:cs="Tahoma"/>
                <w:sz w:val="16"/>
                <w:szCs w:val="16"/>
              </w:rPr>
            </w:pPr>
            <w:r w:rsidRPr="007D1DFB">
              <w:rPr>
                <w:rFonts w:ascii="Tahoma" w:hAnsi="Tahoma" w:cs="Tahoma"/>
                <w:sz w:val="16"/>
                <w:szCs w:val="16"/>
              </w:rPr>
              <w:t>Construir y estimar un modelo para contrastar las hipótesis de interés entre medias de tratamientos con una y dos variables de bloqueo.</w:t>
            </w:r>
          </w:p>
        </w:tc>
        <w:tc>
          <w:tcPr>
            <w:tcW w:w="1784" w:type="dxa"/>
            <w:vAlign w:val="center"/>
          </w:tcPr>
          <w:p w14:paraId="543895F3" w14:textId="17032961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DD6E09" w14:textId="6F571C0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ED3122E" w14:textId="45FB4FB6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4B3890E6" w14:textId="77777777" w:rsidTr="00C706C5">
        <w:trPr>
          <w:trHeight w:val="894"/>
          <w:jc w:val="center"/>
        </w:trPr>
        <w:tc>
          <w:tcPr>
            <w:tcW w:w="1620" w:type="dxa"/>
            <w:vAlign w:val="center"/>
          </w:tcPr>
          <w:p w14:paraId="12C3B105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16B2ED51" w14:textId="786ACC94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598E86" w14:textId="465C3A58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4.5</w:t>
            </w:r>
            <w:r w:rsidR="00FA5C6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ANOVA con dos criterios</w:t>
            </w:r>
          </w:p>
          <w:p w14:paraId="69470B19" w14:textId="6B4CB037" w:rsidR="00675603" w:rsidRPr="000A6A43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4.6</w:t>
            </w:r>
            <w:r w:rsidR="00FA5C6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Efecto de interacción.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1B3A4" w14:textId="412D5B89" w:rsidR="00675603" w:rsidRPr="000A6A43" w:rsidRDefault="007622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Valorar el beneficio del diseño y análisis estadístico de experimentos que le reportará la aplicación de la técnica de ANOVA, en investigaciones científicas relacionadas con el mundo de los negocios.</w:t>
            </w:r>
          </w:p>
        </w:tc>
        <w:tc>
          <w:tcPr>
            <w:tcW w:w="1784" w:type="dxa"/>
            <w:vAlign w:val="center"/>
          </w:tcPr>
          <w:p w14:paraId="3BD59A8E" w14:textId="637C8B8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C971CB8" w14:textId="3C0087A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C357E3C" w14:textId="3170ED47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125193DA" w14:textId="77777777" w:rsidTr="00C706C5">
        <w:trPr>
          <w:trHeight w:val="1311"/>
          <w:jc w:val="center"/>
        </w:trPr>
        <w:tc>
          <w:tcPr>
            <w:tcW w:w="1620" w:type="dxa"/>
            <w:vAlign w:val="center"/>
          </w:tcPr>
          <w:p w14:paraId="3C2CB2BF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541B9DDF" w14:textId="19D21930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66162D" w14:textId="054CC283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 xml:space="preserve">Unidad V. Números </w:t>
            </w:r>
            <w:r w:rsidR="00D40717" w:rsidRPr="00D572F8">
              <w:rPr>
                <w:rFonts w:ascii="Tahoma" w:hAnsi="Tahoma" w:cs="Tahoma"/>
                <w:sz w:val="16"/>
                <w:szCs w:val="16"/>
              </w:rPr>
              <w:t>Índices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D40717" w:rsidRPr="00D572F8">
              <w:rPr>
                <w:rFonts w:ascii="Tahoma" w:hAnsi="Tahoma" w:cs="Tahoma"/>
                <w:sz w:val="16"/>
                <w:szCs w:val="16"/>
              </w:rPr>
              <w:t>y</w:t>
            </w:r>
            <w:r w:rsidRPr="00D572F8">
              <w:rPr>
                <w:rFonts w:ascii="Tahoma" w:hAnsi="Tahoma" w:cs="Tahoma"/>
                <w:sz w:val="16"/>
                <w:szCs w:val="16"/>
              </w:rPr>
              <w:t xml:space="preserve"> Análisis de Series de Tiempo</w:t>
            </w:r>
          </w:p>
          <w:p w14:paraId="6B6DAB17" w14:textId="541B9A28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5.1.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Propósito de los números índices</w:t>
            </w:r>
          </w:p>
          <w:p w14:paraId="69497D06" w14:textId="118EC014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5.2.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Construcción de un índice</w:t>
            </w:r>
          </w:p>
          <w:p w14:paraId="42845771" w14:textId="3145F2E3" w:rsidR="00675603" w:rsidRPr="000A6A43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5.3.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Tipos de índices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B6550" w14:textId="7C8A2FD3" w:rsidR="00675603" w:rsidRPr="000A6A43" w:rsidRDefault="007622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Analizar definición de números índices y series de tiempo, diario, semanal, semestral, anual, entre otros, para la toma de decisiones en escenarios administrativos y económicos.</w:t>
            </w:r>
          </w:p>
        </w:tc>
        <w:tc>
          <w:tcPr>
            <w:tcW w:w="1784" w:type="dxa"/>
            <w:vAlign w:val="center"/>
          </w:tcPr>
          <w:p w14:paraId="380A910B" w14:textId="5CAFE3FA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86B2AD1" w14:textId="62C9D7FE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25642E9" w14:textId="27F24188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0EE9CEC6" w14:textId="77777777" w:rsidTr="00C706C5">
        <w:trPr>
          <w:trHeight w:val="849"/>
          <w:jc w:val="center"/>
        </w:trPr>
        <w:tc>
          <w:tcPr>
            <w:tcW w:w="1620" w:type="dxa"/>
            <w:vAlign w:val="center"/>
          </w:tcPr>
          <w:p w14:paraId="0AB741BC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77CFA67B" w14:textId="3361762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1ACBB4" w14:textId="4EB14C26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5.4.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Índice de precios al consumidor</w:t>
            </w:r>
          </w:p>
          <w:p w14:paraId="6D057D19" w14:textId="15D45F99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5.5.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Índice compuesto</w:t>
            </w:r>
          </w:p>
          <w:p w14:paraId="7432B983" w14:textId="0F04C4EC" w:rsidR="00675603" w:rsidRPr="000A6A43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5.6.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Deflación de una serie de tiempo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03C81B" w14:textId="2E70962D" w:rsidR="00675603" w:rsidRPr="000A6A43" w:rsidRDefault="007622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Desarrollar una ecuación para modelar una serie de datos registrados en forma periódica anual, semestral, trimestral y diario.</w:t>
            </w:r>
          </w:p>
        </w:tc>
        <w:tc>
          <w:tcPr>
            <w:tcW w:w="1784" w:type="dxa"/>
            <w:vAlign w:val="center"/>
          </w:tcPr>
          <w:p w14:paraId="012094D8" w14:textId="7D85C99F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9FADE8F" w14:textId="1094CDE1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83907B8" w14:textId="3B5975E7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0DA1C6C1" w14:textId="77777777" w:rsidTr="00D274C9">
        <w:trPr>
          <w:trHeight w:val="764"/>
          <w:jc w:val="center"/>
        </w:trPr>
        <w:tc>
          <w:tcPr>
            <w:tcW w:w="1620" w:type="dxa"/>
            <w:vAlign w:val="center"/>
          </w:tcPr>
          <w:p w14:paraId="3177E9DC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3AAE4CDC" w14:textId="60537C4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68F67" w14:textId="29D6568A" w:rsidR="00D572F8" w:rsidRPr="00D572F8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 xml:space="preserve">5.7. 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Descomposición de una serie de tiempo</w:t>
            </w:r>
          </w:p>
          <w:p w14:paraId="4BC75FF9" w14:textId="3076DB89" w:rsidR="00675603" w:rsidRPr="000A6A43" w:rsidRDefault="00D572F8" w:rsidP="00D572F8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5.8.</w:t>
            </w:r>
            <w:r w:rsidR="00D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Tendencia, ciclos, datos estacionales.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B9BB4F" w14:textId="1C804002" w:rsidR="00675603" w:rsidRPr="000A6A43" w:rsidRDefault="007622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Medir la evolución del conjunto de precios, cantidad y valor de los bienes y servicios que consume una población determinada.</w:t>
            </w:r>
          </w:p>
        </w:tc>
        <w:tc>
          <w:tcPr>
            <w:tcW w:w="1784" w:type="dxa"/>
            <w:vAlign w:val="center"/>
          </w:tcPr>
          <w:p w14:paraId="0253961A" w14:textId="1312ECED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BB21319" w14:textId="5817EC1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9939401" w14:textId="07519A22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49D64922" w14:textId="77777777" w:rsidTr="00C706C5">
        <w:trPr>
          <w:trHeight w:val="831"/>
          <w:jc w:val="center"/>
        </w:trPr>
        <w:tc>
          <w:tcPr>
            <w:tcW w:w="1620" w:type="dxa"/>
            <w:vAlign w:val="center"/>
          </w:tcPr>
          <w:p w14:paraId="35A1F53A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12528C2B" w14:textId="21498132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80DFD" w14:textId="65EB6A97" w:rsidR="00675603" w:rsidRPr="000A6A43" w:rsidRDefault="000E2C8B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práctica: Desarrollo de un indicador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D5783" w14:textId="46074217" w:rsidR="00675603" w:rsidRPr="000A6A43" w:rsidRDefault="007622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Desarrollar actitud responsable, ética en el proceso y manejo de la información en la predicción de condiciones económicas o industriales.</w:t>
            </w:r>
          </w:p>
        </w:tc>
        <w:tc>
          <w:tcPr>
            <w:tcW w:w="1784" w:type="dxa"/>
            <w:vAlign w:val="center"/>
          </w:tcPr>
          <w:p w14:paraId="393303B3" w14:textId="5755322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21ABF6" w14:textId="7A71F92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7CEF694" w14:textId="0059C156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471CA957" w14:textId="77777777" w:rsidTr="00C706C5">
        <w:trPr>
          <w:trHeight w:val="705"/>
          <w:jc w:val="center"/>
        </w:trPr>
        <w:tc>
          <w:tcPr>
            <w:tcW w:w="1620" w:type="dxa"/>
            <w:vAlign w:val="center"/>
          </w:tcPr>
          <w:p w14:paraId="4924ABFD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3CC06E20" w14:textId="1EE6D664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 nov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4D941F" w14:textId="18BB723A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84293" w14:textId="6A19E1E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segunda parte del trimestre</w:t>
            </w:r>
          </w:p>
        </w:tc>
        <w:tc>
          <w:tcPr>
            <w:tcW w:w="1784" w:type="dxa"/>
            <w:vAlign w:val="center"/>
          </w:tcPr>
          <w:p w14:paraId="5D5EEF05" w14:textId="7DFB412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1E04890E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F0AA9B1" w14:textId="2AFFCC9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D42437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D42437"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675603" w14:paraId="1E6ADAE4" w14:textId="77777777" w:rsidTr="00C706C5">
        <w:trPr>
          <w:trHeight w:val="683"/>
          <w:jc w:val="center"/>
        </w:trPr>
        <w:tc>
          <w:tcPr>
            <w:tcW w:w="1620" w:type="dxa"/>
            <w:vAlign w:val="center"/>
          </w:tcPr>
          <w:p w14:paraId="325878B9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</w:t>
            </w:r>
          </w:p>
          <w:p w14:paraId="319957BB" w14:textId="071C3012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nov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774B4" w14:textId="5F6CD45D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4FA14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3D8A9F31" w14:textId="6D1BEBF8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630B7"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0A09F10C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A710F75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326F4D61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0E0D2" w14:textId="77777777" w:rsidR="004E33EB" w:rsidRDefault="004E33EB" w:rsidP="00346567">
      <w:r>
        <w:separator/>
      </w:r>
    </w:p>
  </w:endnote>
  <w:endnote w:type="continuationSeparator" w:id="0">
    <w:p w14:paraId="6EE54014" w14:textId="77777777" w:rsidR="004E33EB" w:rsidRDefault="004E33E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7D36633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048CD2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3A7EB" w14:textId="77777777" w:rsidR="004E33EB" w:rsidRDefault="004E33EB" w:rsidP="00346567">
      <w:r>
        <w:separator/>
      </w:r>
    </w:p>
  </w:footnote>
  <w:footnote w:type="continuationSeparator" w:id="0">
    <w:p w14:paraId="5E567177" w14:textId="77777777" w:rsidR="004E33EB" w:rsidRDefault="004E33E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3397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314AA6" wp14:editId="7F09C5A7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53"/>
    <w:rsid w:val="000A6A43"/>
    <w:rsid w:val="000E2C8B"/>
    <w:rsid w:val="001C56E5"/>
    <w:rsid w:val="002672A0"/>
    <w:rsid w:val="002A13A9"/>
    <w:rsid w:val="002D2265"/>
    <w:rsid w:val="002F2DEE"/>
    <w:rsid w:val="0033078D"/>
    <w:rsid w:val="00346567"/>
    <w:rsid w:val="003C0FAB"/>
    <w:rsid w:val="003C5368"/>
    <w:rsid w:val="003E1D73"/>
    <w:rsid w:val="00403341"/>
    <w:rsid w:val="00410565"/>
    <w:rsid w:val="00411302"/>
    <w:rsid w:val="004308F3"/>
    <w:rsid w:val="004408B1"/>
    <w:rsid w:val="00447E59"/>
    <w:rsid w:val="00473B94"/>
    <w:rsid w:val="00486909"/>
    <w:rsid w:val="004E33EB"/>
    <w:rsid w:val="005665F2"/>
    <w:rsid w:val="00572648"/>
    <w:rsid w:val="005928A3"/>
    <w:rsid w:val="005E51C5"/>
    <w:rsid w:val="005F236C"/>
    <w:rsid w:val="00636F96"/>
    <w:rsid w:val="00675603"/>
    <w:rsid w:val="00691BCA"/>
    <w:rsid w:val="006B4456"/>
    <w:rsid w:val="006E30F5"/>
    <w:rsid w:val="006E30FE"/>
    <w:rsid w:val="007003FC"/>
    <w:rsid w:val="00762253"/>
    <w:rsid w:val="007B46B7"/>
    <w:rsid w:val="007D1DFB"/>
    <w:rsid w:val="00803841"/>
    <w:rsid w:val="008129B8"/>
    <w:rsid w:val="008A2DDD"/>
    <w:rsid w:val="008B3C53"/>
    <w:rsid w:val="009141BA"/>
    <w:rsid w:val="009624D0"/>
    <w:rsid w:val="009B000B"/>
    <w:rsid w:val="009B370F"/>
    <w:rsid w:val="009D6C53"/>
    <w:rsid w:val="009E1F81"/>
    <w:rsid w:val="00A5110E"/>
    <w:rsid w:val="00AA46ED"/>
    <w:rsid w:val="00B04E53"/>
    <w:rsid w:val="00B3683B"/>
    <w:rsid w:val="00B5715E"/>
    <w:rsid w:val="00B65380"/>
    <w:rsid w:val="00B90FA8"/>
    <w:rsid w:val="00BA3472"/>
    <w:rsid w:val="00BD3577"/>
    <w:rsid w:val="00BE1078"/>
    <w:rsid w:val="00BE47BF"/>
    <w:rsid w:val="00C140EA"/>
    <w:rsid w:val="00C706C5"/>
    <w:rsid w:val="00CA660C"/>
    <w:rsid w:val="00D274C9"/>
    <w:rsid w:val="00D40717"/>
    <w:rsid w:val="00D572F8"/>
    <w:rsid w:val="00DA6C5C"/>
    <w:rsid w:val="00E10464"/>
    <w:rsid w:val="00E5146C"/>
    <w:rsid w:val="00E568EB"/>
    <w:rsid w:val="00ED3F29"/>
    <w:rsid w:val="00F736E6"/>
    <w:rsid w:val="00F867C8"/>
    <w:rsid w:val="00FA5C6A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A67E4D"/>
  <w15:chartTrackingRefBased/>
  <w15:docId w15:val="{7887B2A2-D6AE-4CA4-9526-1FB85206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3</TotalTime>
  <Pages>4</Pages>
  <Words>877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</cp:revision>
  <cp:lastPrinted>2023-07-17T21:58:00Z</cp:lastPrinted>
  <dcterms:created xsi:type="dcterms:W3CDTF">2023-07-18T02:48:00Z</dcterms:created>
  <dcterms:modified xsi:type="dcterms:W3CDTF">2023-07-18T02:50:00Z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