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V Unidad: Gerencia de la Seguridad de la Información</w:t>
      </w:r>
    </w:p>
    <w:p>
      <w:pPr>
        <w:ind w:right="0" w:left="72" w:firstLine="0"/>
        <w:spacing w:before="144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432" w:left="864" w:firstLine="-288"/>
        <w:spacing w:before="72" w:after="0" w:line="24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Diseñar planes de contingencia orientado a mantener activos los procesos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negocios de la empresa.</w:t>
      </w:r>
    </w:p>
    <w:p>
      <w:pPr>
        <w:ind w:right="0" w:left="72" w:firstLine="0"/>
        <w:spacing w:before="324" w:after="0" w:line="204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72" w:firstLine="0"/>
        <w:spacing w:before="72" w:after="0" w:line="264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5.1 Seguridad de la información: distintas formas y estados de los datos</w:t>
      </w:r>
    </w:p>
    <w:p>
      <w:pPr>
        <w:ind w:right="0" w:left="72" w:firstLine="0"/>
        <w:spacing w:before="36" w:after="0" w:line="280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5.2 ¿Ciberseguridad o seguridad de la información? Aclarando la diferencia según ISACA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5,3 Pilares de la seguridad informática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5.4 Planes de contingencia</w:t>
      </w:r>
    </w:p>
    <w:p>
      <w:pPr>
        <w:ind w:right="4896" w:left="72" w:firstLine="0"/>
        <w:spacing w:before="72" w:after="0" w:line="285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5.5 Planes de continuidad del negocio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5.6 Seguridad física vs seguridad lógica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5.7 Análisis de Riesgo</w:t>
      </w:r>
    </w:p>
    <w:p>
      <w:pPr>
        <w:ind w:right="5256" w:left="72" w:firstLine="0"/>
        <w:spacing w:before="0" w:after="0" w:line="29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5.8 Análisis de Impacto del Negocio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5.9 SGSI - ISO 27001</w:t>
      </w:r>
    </w:p>
    <w:p>
      <w:pPr>
        <w:ind w:right="0" w:left="0" w:firstLine="0"/>
        <w:spacing w:before="972" w:after="0" w:line="240" w:lineRule="auto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VI Unidad: Gerencia de la Seguridad de la Información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432" w:left="864" w:firstLine="-288"/>
        <w:spacing w:before="36" w:after="0" w:line="24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Diseñar planes de contingencia orientado a mantener activos los procesos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negocios de la empresa.</w:t>
      </w:r>
    </w:p>
    <w:p>
      <w:pPr>
        <w:ind w:right="0" w:left="72" w:firstLine="0"/>
        <w:spacing w:before="360" w:after="0" w:line="20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72" w:firstLine="0"/>
        <w:spacing w:before="72" w:after="0" w:line="216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6.1 Escenarios de evaluación financiera</w:t>
      </w:r>
    </w:p>
    <w:p>
      <w:pPr>
        <w:ind w:right="1944" w:left="72" w:firstLine="0"/>
        <w:spacing w:before="36" w:after="0" w:line="30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6.2 Proyección de los estados financieros y flujos de caja del proyecto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6.3 Estimación del punto de equilibrio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6.4 Estimación de la tasa de interés de oportunidad</w:t>
      </w:r>
    </w:p>
    <w:p>
      <w:pPr>
        <w:ind w:right="0" w:left="72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6.5 Indicadores de evaluación financiera: VAN y TIR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6.6 Relación Costo — Beneficio (B/C}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6.7 Interpretación de estados financieros</w:t>
      </w:r>
    </w:p>
    <w:p>
      <w:pPr>
        <w:sectPr>
          <w:pgSz w:w="12240" w:h="15840" w:orient="portrait"/>
          <w:type w:val="nextPage"/>
          <w:textDirection w:val="lrTb"/>
          <w:pgMar w:bottom="4438" w:top="1792" w:right="1622" w:left="1698" w:header="720" w:footer="720"/>
          <w:titlePg w:val="false"/>
        </w:sectPr>
      </w:pPr>
    </w:p>
    <w:p>
      <w:pPr>
        <w:ind w:right="0" w:left="72" w:firstLine="0"/>
        <w:spacing w:before="0" w:after="0" w:line="276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Orientaciones Metodológicas</w:t>
      </w:r>
    </w:p>
    <w:p>
      <w:pPr>
        <w:ind w:right="0" w:left="72" w:firstLine="0"/>
        <w:spacing w:before="180" w:after="0" w:line="28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Para esta asignatura es necesario que el estudiantado comprenda la finalidad de la misma, el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contenido a desarrollar, las formas de evaluación, así como las normas básicas de la trilogía de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la relación docente-estudiantes-autoridades académicas y los derechos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que asisten al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estudiantado de acuerdo con lo establecido en el RRAE.</w:t>
      </w:r>
    </w:p>
    <w:p>
      <w:pPr>
        <w:ind w:right="0" w:left="72" w:firstLine="0"/>
        <w:spacing w:before="0" w:after="0" w:line="288" w:lineRule="auto"/>
        <w:jc w:val="both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Las formas organizativas de enseñanzas (FOE) que se implementarán serán de acuerdo al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Modelo Educativo de la UPOLI como: las conferencias dialogadas y participativas, preguntas de control y de comprobación con el objetivo de dinamizar la clase. Los círculos de estudio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serán conformados por grupo de cuatro a cinco estudiantes, para facilitar la discusión y comprensión de los temas escogidos para su posterior discusión, donde se aclararán y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consolidarán los conocimientos. Se orientarán temas para el autoestudio y se reforzarán los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temas abordados tanto en las conferencias presenciales como en los casos donde haya o se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presenten situaciones que no han sido de fácil compresión por los estudiantes.</w:t>
      </w:r>
    </w:p>
    <w:p>
      <w:pPr>
        <w:ind w:right="0" w:left="72" w:firstLine="0"/>
        <w:spacing w:before="0" w:after="0" w:line="280" w:lineRule="auto"/>
        <w:jc w:val="both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 el proceso metodológico se debe desarrollar y mantener ventajas competitivas a través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innovación es un imperativo para las organizaciones contemporáneas. Se debe lograr este objetivo haciendo uso eficiente de la información y el conocimiento, para lo cual las tecnologías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de información constituyen un recurso estratégico. Sabemos que estas tecnologías no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producen por sí mismas los cambios deseados; se necesita un esfuerzo en la administración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para que sea liderado por profesionales con buen entendimiento de las tecnologías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información y gran capacidad gerencia'.</w:t>
      </w:r>
    </w:p>
    <w:p>
      <w:pPr>
        <w:ind w:right="0" w:left="72" w:firstLine="0"/>
        <w:spacing w:before="288" w:after="0" w:line="240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Evaluación de los Aprendizajes</w:t>
      </w:r>
    </w:p>
    <w:p>
      <w:pPr>
        <w:ind w:right="0" w:left="72" w:firstLine="0"/>
        <w:spacing w:before="180" w:after="0" w:line="29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sistema de evaluación del aprendizaje en la UPOLI, de acuerdo al artículo 75 del Reglamento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Régimen Académico, éstas serán fijadas por el/la docente de casa asignatura, a través del sílabo correspondiente y presentado a los/las estudiantes el primer día de clases.</w:t>
      </w:r>
    </w:p>
    <w:p>
      <w:pPr>
        <w:ind w:right="0" w:left="72" w:firstLine="0"/>
        <w:spacing w:before="216" w:after="0" w:line="288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acuerdo al articulo 74 del Reglamento del Régimen Académico, la evaluación será a través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las diferentes técnicas tales como:</w:t>
      </w:r>
    </w:p>
    <w:p>
      <w:pPr>
        <w:ind w:right="0" w:left="432" w:firstLine="0"/>
        <w:spacing w:before="252" w:after="0" w:line="240" w:lineRule="auto"/>
        <w:jc w:val="left"/>
        <w:tabs>
          <w:tab w:val="clear" w:pos="432"/>
          <w:tab w:val="decimal" w:pos="864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Pruebas diagnósticas, parciales y finales, orales y escritas_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.</w:t>
      </w:r>
      <w:r>
        <w:rPr>
          <w:color w:val="#000000"/>
          <w:sz w:val="21"/>
          <w:lang w:val="es-ES"/>
          <w:spacing w:val="5"/>
          <w:w w:val="130"/>
          <w:strike w:val="false"/>
          <w:vertAlign w:val="superscript"/>
          <w:rFonts w:ascii="Arial" w:hAnsi="Arial"/>
        </w:rPr>
        <w:t xml:space="preserve">7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 Trabajo individual o de equipo en clase.</w:t>
      </w:r>
    </w:p>
    <w:p>
      <w:pPr>
        <w:ind w:right="0" w:left="792" w:firstLine="-360"/>
        <w:spacing w:before="0" w:after="0" w:line="285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y' Trabajos de estudio independiente (fuera del aula) observaciones, investigaciones, car</w:t>
        <w:softHyphen/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petas, proyectos, reportes escritos, análisis crítico, entre otros. Podrán ser individuales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❑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colectivos.</w:t>
      </w:r>
    </w:p>
    <w:p>
      <w:pPr>
        <w:ind w:right="0" w:left="432" w:firstLine="0"/>
        <w:spacing w:before="0" w:after="0" w:line="240" w:lineRule="auto"/>
        <w:jc w:val="left"/>
        <w:tabs>
          <w:tab w:val="clear" w:pos="432"/>
          <w:tab w:val="decimal" w:pos="864"/>
        </w:tabs>
        <w:numPr>
          <w:ilvl w:val="0"/>
          <w:numId w:val="5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Observación de los estudiantes por parte del docente/la docente.</w:t>
      </w:r>
    </w:p>
    <w:p>
      <w:pPr>
        <w:ind w:right="0" w:left="432" w:firstLine="0"/>
        <w:spacing w:before="252" w:after="0" w:line="240" w:lineRule="auto"/>
        <w:jc w:val="left"/>
        <w:tabs>
          <w:tab w:val="clear" w:pos="432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Autoevaluación y coevaluación de los/las estudiantes.</w:t>
      </w:r>
    </w:p>
    <w:p>
      <w:pPr>
        <w:ind w:right="0" w:left="432" w:firstLine="0"/>
        <w:spacing w:before="0" w:after="0" w:line="216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y' Portafolio.</w:t>
      </w:r>
    </w:p>
    <w:p>
      <w:pPr>
        <w:ind w:right="0" w:left="432" w:firstLine="0"/>
        <w:spacing w:before="432" w:after="0" w:line="240" w:lineRule="auto"/>
        <w:jc w:val="left"/>
        <w:tabs>
          <w:tab w:val="clear" w:pos="432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Foros, seminarios, ensayos, estudios de caso, simulación de caso.</w:t>
      </w:r>
    </w:p>
    <w:p>
      <w:pPr>
        <w:ind w:right="0" w:left="72" w:firstLine="0"/>
        <w:spacing w:before="396" w:after="0" w:line="292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evaluación de las asignaturas que se implementará en las diversas modalidades educativas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 clasificará en: evaluación sistemática y evaluación parcial.</w:t>
      </w:r>
    </w:p>
    <w:p>
      <w:pPr>
        <w:ind w:right="0" w:left="72" w:firstLine="0"/>
        <w:spacing w:before="216" w:after="0" w:line="295" w:lineRule="auto"/>
        <w:jc w:val="both"/>
        <w:rPr>
          <w:b w:val="true"/>
          <w:i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Evaluación sistemática: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integra los resultados acumulados de las diversas pruebas o trabajos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asignados por el/la docente. Se realiza antes de cada prueba parcial y el estudiante debe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acumular 30 puntos; en total acumulará 60 puntos en concepto de evaluación sistemática.</w:t>
      </w:r>
    </w:p>
    <w:p>
      <w:pPr>
        <w:sectPr>
          <w:pgSz w:w="12240" w:h="15840" w:orient="portrait"/>
          <w:type w:val="nextPage"/>
          <w:textDirection w:val="lrTb"/>
          <w:pgMar w:bottom="390" w:top="1400" w:right="1313" w:left="1387" w:header="720" w:footer="720"/>
          <w:titlePg w:val="false"/>
        </w:sectPr>
      </w:pPr>
    </w:p>
    <w:p>
      <w:pPr>
        <w:ind w:right="0" w:left="144" w:firstLine="0"/>
        <w:spacing w:before="0" w:after="0" w:line="290" w:lineRule="auto"/>
        <w:jc w:val="both"/>
        <w:rPr>
          <w:b w:val="true"/>
          <w:i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Evaluación parcial: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se realiza mediante prueba oral, escrita, proyecto de curso, ensayo o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cualquier actividad de evaluación establecida según las características de cada asignatura. A lo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largo del ciclo académico se realizarán dos evaluaciones parciales cada una de 20 puntos. En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total se acumulará 40 puntos en concepto de evaluación parcial. Esta asignatura finaliza con</w:t>
      </w:r>
    </w:p>
    <w:p>
      <w:pPr>
        <w:ind w:right="0" w:left="144" w:firstLine="0"/>
        <w:spacing w:before="0" w:after="0" w:line="28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proyecto de curso: Plan de Contingencia: "Presentación de un plan de contingencia para una empresa" con un valor de una prueba parcial (20 puntos).</w:t>
      </w:r>
    </w:p>
    <w:p>
      <w:pPr>
        <w:ind w:right="0" w:left="144" w:firstLine="0"/>
        <w:spacing w:before="216" w:after="0" w:line="285" w:lineRule="auto"/>
        <w:jc w:val="left"/>
        <w:tabs>
          <w:tab w:val="clear" w:pos="576"/>
          <w:tab w:val="decimal" w:pos="720"/>
        </w:tabs>
        <w:numPr>
          <w:ilvl w:val="0"/>
          <w:numId w:val="7"/>
        </w:numP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La evaluación diagnostica: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tiene como propósito los conocimientos previos de los estu-</w:t>
      </w:r>
      <w:r>
        <w:rPr>
          <w:color w:val="#000000"/>
          <w:sz w:val="21"/>
          <w:lang w:val="en-US"/>
          <w:w w:val="100"/>
          <w:strike w:val="false"/>
          <w:vertAlign w:val="baseline"/>
          <w:rFonts w:ascii="Arial" w:hAnsi="Arial"/>
        </w:rPr>
      </w:r>
    </w:p>
    <w:p>
      <w:pPr>
        <w:ind w:right="0" w:left="648" w:firstLine="0"/>
        <w:spacing w:before="108" w:after="0" w:line="278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diantes al inicio del curso o de una unidad. Los resultados del diagnóstico permitirán intro</w:t>
        <w:softHyphen/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ducir cambios en el planeamiento y ajustar la docencia a las necesidades reales de apren</w:t>
        <w:softHyphen/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dizaje de los estudiantes.</w:t>
      </w:r>
    </w:p>
    <w:p>
      <w:pPr>
        <w:ind w:right="0" w:left="720" w:firstLine="-576"/>
        <w:spacing w:before="324" w:after="0" w:line="288" w:lineRule="auto"/>
        <w:jc w:val="both"/>
        <w:tabs>
          <w:tab w:val="clear" w:pos="576"/>
          <w:tab w:val="decimal" w:pos="720"/>
        </w:tabs>
        <w:numPr>
          <w:ilvl w:val="0"/>
          <w:numId w:val="8"/>
        </w:numP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La evaluación formativa: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proceso tiene como propósito identificar como progresa el estudiante para fortalecer sus aprendizajes o qué dificultades presenta para introducir es</w:t>
        <w:softHyphen/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trategias de retroalimentación o remediación.</w:t>
      </w:r>
    </w:p>
    <w:p>
      <w:pPr>
        <w:ind w:right="0" w:left="720" w:firstLine="-648"/>
        <w:spacing w:before="288" w:after="0" w:line="285" w:lineRule="auto"/>
        <w:jc w:val="both"/>
        <w:tabs>
          <w:tab w:val="clear" w:pos="648"/>
          <w:tab w:val="decimal" w:pos="720"/>
        </w:tabs>
        <w:numPr>
          <w:ilvl w:val="0"/>
          <w:numId w:val="9"/>
        </w:numP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La evaluación Sumativa: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tiene como propósito verificar los aprendizajes al finalizar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determinados periodos. Sirve para acreditar lo que el estudiante aprendió en ese o esos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periodos.</w:t>
      </w:r>
    </w:p>
    <w:p>
      <w:pPr>
        <w:ind w:right="0" w:left="0" w:firstLine="0"/>
        <w:spacing w:before="252" w:after="0" w:line="240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J. Bibliografía y Recursos Didácticos</w:t>
      </w:r>
    </w:p>
    <w:p>
      <w:pPr>
        <w:ind w:right="0" w:left="0" w:firstLine="0"/>
        <w:spacing w:before="360" w:after="0" w:line="240" w:lineRule="auto"/>
        <w:jc w:val="left"/>
        <w:rPr>
          <w:b w:val="true"/>
          <w:color w:val="#000000"/>
          <w:sz w:val="19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Bibliografía</w:t>
      </w:r>
    </w:p>
    <w:p>
      <w:pPr>
        <w:ind w:right="0" w:left="144" w:firstLine="0"/>
        <w:spacing w:before="216" w:after="0" w:line="240" w:lineRule="auto"/>
        <w:jc w:val="left"/>
        <w:tabs>
          <w:tab w:val="clear" w:pos="360"/>
          <w:tab w:val="decimal" w:pos="504"/>
        </w:tabs>
        <w:numPr>
          <w:ilvl w:val="0"/>
          <w:numId w:val="10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Armenteros, M., &amp; Vega, C. (1999). La innovación tecnológica. La Habana: Félix Varela.</w:t>
      </w:r>
    </w:p>
    <w:p>
      <w:pPr>
        <w:ind w:right="0" w:left="432" w:firstLine="0"/>
        <w:spacing w:before="144" w:after="0" w:line="240" w:lineRule="auto"/>
        <w:jc w:val="both"/>
        <w:tabs>
          <w:tab w:val="clear" w:pos="216"/>
          <w:tab w:val="decimal" w:pos="648"/>
        </w:tabs>
        <w:numPr>
          <w:ilvl w:val="0"/>
          <w:numId w:val="11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Castro Díaz-Balart, F. (2002). Ciencia, innovación y futuro. Barcelona: Grijalbo. Hernández,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(2007). Mercadotecnia en la empresa cubana: continuación del desafío. La Habana: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Editorial Imágenes.</w:t>
      </w:r>
    </w:p>
    <w:p>
      <w:pPr>
        <w:ind w:right="0" w:left="72" w:firstLine="0"/>
        <w:spacing w:before="144" w:after="0" w:line="240" w:lineRule="auto"/>
        <w:jc w:val="both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León, N. (2008). Gestión de la innovación tecnológica en el mundo empresarial del S.XXI.</w:t>
      </w:r>
    </w:p>
    <w:p>
      <w:pPr>
        <w:ind w:right="0" w:left="504" w:firstLine="-432"/>
        <w:spacing w:before="108" w:after="0" w:line="240" w:lineRule="auto"/>
        <w:jc w:val="both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Muñiz, R., (2011). Concepto de investigación de mercados. Bosch, M. T., Serrats, J. M., &amp;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Tarrazon, M. A. (2007). NPV as a function of the IRR: the value. Journal of Applied Finance,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41-45</w:t>
      </w:r>
    </w:p>
    <w:p>
      <w:pPr>
        <w:ind w:right="0" w:left="432" w:firstLine="0"/>
        <w:spacing w:before="144" w:after="0" w:line="240" w:lineRule="auto"/>
        <w:jc w:val="left"/>
        <w:tabs>
          <w:tab w:val="clear" w:pos="216"/>
          <w:tab w:val="decimal" w:pos="648"/>
        </w:tabs>
        <w:numPr>
          <w:ilvl w:val="0"/>
          <w:numId w:val="12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Brown, K. H. (1981). Estudio internacional de la relación entre las modificaciones de la tasa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descuento y los movimientos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del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tipo de cambio (Spanish). Monetaria., 1-16.</w:t>
      </w:r>
    </w:p>
    <w:p>
      <w:pPr>
        <w:ind w:right="0" w:left="432" w:firstLine="0"/>
        <w:spacing w:before="288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Carrillo Rodríguez, F., &amp; Carrillo Manotas, P. (2012). Estructura Matemática para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Evaluación de Proyectos. Bogotá: C.E.S.A.</w:t>
      </w:r>
    </w:p>
    <w:p>
      <w:pPr>
        <w:ind w:right="0" w:left="432" w:firstLine="0"/>
        <w:spacing w:before="252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Azofra, V. (2012). Pasado y presente de las finanzas corporativas. Revista de Contabilidad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y Dirección, 15, 135-166.</w:t>
      </w:r>
    </w:p>
    <w:p>
      <w:pPr>
        <w:ind w:right="0" w:left="432" w:firstLine="0"/>
        <w:spacing w:before="288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Balyeat, </w:t>
      </w:r>
      <w:r>
        <w:rPr>
          <w:b w:val="true"/>
          <w:color w:val="#000000"/>
          <w:sz w:val="20"/>
          <w:lang w:val="es-ES"/>
          <w:spacing w:val="13"/>
          <w:w w:val="100"/>
          <w:strike w:val="false"/>
          <w:vertAlign w:val="baseline"/>
          <w:rFonts w:ascii="Tahoma" w:hAnsi="Tahoma"/>
        </w:rPr>
        <w:t xml:space="preserve">B., &amp; </w:t>
      </w: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Cagle, J. (2015). MIRR: The means to an end? Reinforcing optima'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investement decisions using the NPV rule. Journal of Financial Education., 90-102.</w:t>
      </w:r>
    </w:p>
    <w:p>
      <w:pPr>
        <w:ind w:right="0" w:left="432" w:firstLine="0"/>
        <w:spacing w:before="252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Beruvides, M. G. (2015). Multiple Internal Rate of Return Revisited: Frequency of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Occurrences. Engineering Economist., 75-87.</w:t>
      </w:r>
    </w:p>
    <w:p>
      <w:pPr>
        <w:ind w:right="0" w:left="72" w:firstLine="0"/>
        <w:spacing w:before="108" w:after="0" w:line="240" w:lineRule="auto"/>
        <w:jc w:val="left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Santos, J. C. (2014). Seguridad y alta disponibilidad. Bogotá, Colombia: Ra-ma Editorial.</w:t>
      </w:r>
    </w:p>
    <w:p>
      <w:pPr>
        <w:sectPr>
          <w:pgSz w:w="12240" w:h="15840" w:orient="portrait"/>
          <w:type w:val="nextPage"/>
          <w:textDirection w:val="lrTb"/>
          <w:pgMar w:bottom="510" w:top="1540" w:right="1274" w:left="1346" w:header="720" w:footer="720"/>
          <w:titlePg w:val="false"/>
        </w:sectPr>
      </w:pPr>
    </w:p>
    <w:p>
      <w:pPr>
        <w:ind w:right="0" w:left="504" w:firstLine="0"/>
        <w:spacing w:before="0" w:after="0" w:line="24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•Tejada, E. C. (2015). Auditoría de seguridad informática. IFCT0109. Antequera, España: IC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Editorial.</w:t>
      </w:r>
    </w:p>
    <w:p>
      <w:pPr>
        <w:ind w:right="0" w:left="504" w:firstLine="-432"/>
        <w:spacing w:before="288" w:after="0" w:line="240" w:lineRule="auto"/>
        <w:jc w:val="left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Tovar Valencia, 0. (2015). Inyección de SQL, tipos de ataques y prevención en </w:t>
      </w:r>
      <w:hyperlink r:id="drId4">
        <w:r>
          <w:rPr>
            <w:color w:val="#0000FF"/>
            <w:sz w:val="21"/>
            <w:lang w:val="es-ES"/>
            <w:spacing w:val="6"/>
            <w:w w:val="100"/>
            <w:strike w:val="false"/>
            <w:u w:val="single"/>
            <w:vertAlign w:val="baseline"/>
            <w:rFonts w:ascii="Arial" w:hAnsi="Arial"/>
          </w:rPr>
          <w:t xml:space="preserve">ASP. NET</w:t>
        </w:r>
      </w:hyperlink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C++</w:t>
      </w:r>
    </w:p>
    <w:p>
      <w:pPr>
        <w:ind w:right="0" w:left="504" w:firstLine="0"/>
        <w:spacing w:before="0" w:after="0" w:line="264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(Trabajo de Fin de Grado). Universidad Piloto, Colombia.</w:t>
      </w:r>
    </w:p>
    <w:p>
      <w:pPr>
        <w:ind w:right="0" w:left="504" w:firstLine="-432"/>
        <w:spacing w:before="144" w:after="0" w:line="208" w:lineRule="auto"/>
        <w:jc w:val="left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Vieites, Á. G. (2013). Auditoría de seguridad informática. Bogotá, Colombia: Ediciones de la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U.</w:t>
      </w:r>
    </w:p>
    <w:p>
      <w:pPr>
        <w:ind w:right="0" w:left="0" w:firstLine="0"/>
        <w:spacing w:before="900" w:after="0" w:line="206" w:lineRule="auto"/>
        <w:jc w:val="left"/>
        <w:rPr>
          <w:b w:val="true"/>
          <w:color w:val="#000000"/>
          <w:sz w:val="19"/>
          <w:lang w:val="es-ES"/>
          <w:spacing w:val="0"/>
          <w:w w:val="100"/>
          <w:strike w:val="false"/>
          <w:u w:val="singl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0"/>
          <w:w w:val="100"/>
          <w:strike w:val="false"/>
          <w:u w:val="single"/>
          <w:vertAlign w:val="baseline"/>
          <w:rFonts w:ascii="Verdana" w:hAnsi="Verdana"/>
        </w:rPr>
        <w:t xml:space="preserve">Recursos Didácticos</w:t>
      </w:r>
    </w:p>
    <w:p>
      <w:pPr>
        <w:ind w:right="144" w:left="72" w:firstLine="0"/>
        <w:spacing w:before="324" w:after="0" w:line="28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En cada sesión de clases se debe asignar tareas seleccionados con el uso del material didáctico y texto básico de la asignatura, así como los recursos didácticos son los mediadores para el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desarrollo y enriquecimiento del proceso de enseñanza-aprendizaje que incluyen pizarra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acrílica y/o pizarra inteligente, salones para conferencias y Salas de Ayudas Audiovisuales,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debido a que facilita los procesos de comprensión y representación de los temas, así mismo el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Acceso a Internet o conexión a internet lo que les permite visualizar las páginas web desde un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navegador y acceder a otros servicios que ofrece Internet, como correo electrónico, mensajería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instantánea, protocolo y transferencia de archivos.</w:t>
      </w:r>
    </w:p>
    <w:p>
      <w:pPr>
        <w:ind w:right="144" w:left="72" w:firstLine="0"/>
        <w:spacing w:before="108" w:after="0" w:line="295" w:lineRule="auto"/>
        <w:jc w:val="both"/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El uso de las Videoconferencia o videollamada que es la comunicación simultánea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bidireccional de audio y vídeo, que permite mantener reuniones con grupos de personas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situadas en lugares alejados entre sí, para las videoconferencias se pueden usar las siguientes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herramientas como el Google Meet que puede hacer videoconferencias de forma fiable,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sencilla y sin interrupciones para que los equipos se mantengan en contacto. Skype que no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cuenta con un programa para videoconferencias empresarial, pero con un servicio de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videollamadas puede seguir siendo realmente útil para conectarse con los colaboradores,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también está Zoom que es una de las opciones empresariales mejor acogidas por el público.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Funciona de manera intuitiva, por lo que resultará amigable para todos lo que se desee incluir.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Otra herramienta importante en el proceso académico de esta asignatura es el google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workspace essentials para fomentar el trabajo en equipo con herramientas de comunicación y colaboración conocidas, convenientemente conectadas y que encantan a miles de millones de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usuarios, incluye Documentos, Hojas de cálculo y Presentaciones. Estas herramientas permiten que incluso los equipos formados por miembros que trabajan desde diferentes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oficinas y zonas horarias puedan crear contenido y colaborar unos con otros con facilidad.</w:t>
      </w:r>
    </w:p>
    <w:sectPr>
      <w:pgSz w:w="12240" w:h="15840" w:orient="portrait"/>
      <w:type w:val="nextPage"/>
      <w:textDirection w:val="lrTb"/>
      <w:pgMar w:bottom="3590" w:top="1480" w:right="1283" w:left="133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-1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upperLetter"/>
      <w:lvlText w:val="%1."/>
      <w:start w:val="8"/>
      <w:lvlJc w:val="left"/>
      <w:pPr>
        <w:ind w:left="720"/>
        <w:tabs>
          <w:tab w:val="decimal" w:pos="288"/>
        </w:tabs>
      </w:pPr>
      <w:rPr>
        <w:b w:val="true"/>
        <w:color w:val="#000000"/>
        <w:sz w:val="19"/>
        <w:lang w:val="es-ES"/>
        <w:spacing w:val="8"/>
        <w:w w:val="100"/>
        <w:strike w:val="false"/>
        <w:vertAlign w:val="baseline"/>
        <w:rFonts w:ascii="Verdana" w:hAnsi="Verdana"/>
      </w:rPr>
    </w:lvl>
  </w:abstractNum>
  <w:abstractNum w:abstractNumId="3">
    <w:lvl w:ilvl="0">
      <w:numFmt w:val="bullet"/>
      <w:lvlText w:val="/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bullet"/>
      <w:lvlText w:val="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9"/>
        <w:w w:val="100"/>
        <w:strike w:val="false"/>
        <w:vertAlign w:val="baseline"/>
        <w:rFonts w:ascii="Wingdings" w:hAnsi="Wingdings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4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"/>
      <w:start w:val="1"/>
      <w:lvlJc w:val="left"/>
      <w:pPr>
        <w:ind w:left="720"/>
        <w:tabs>
          <w:tab w:val="decimal" w:pos="576"/>
        </w:tabs>
      </w:pPr>
      <w:rPr>
        <w:b w:val="true"/>
        <w:color w:val="#000000"/>
        <w:sz w:val="20"/>
        <w:lang w:val="es-ES"/>
        <w:spacing w:val="5"/>
        <w:w w:val="100"/>
        <w:strike w:val="false"/>
        <w:vertAlign w:val="baseline"/>
        <w:rFonts w:ascii="Wingdings" w:hAnsi="Wingdings"/>
      </w:rPr>
    </w:lvl>
  </w:abstractNum>
  <w:abstractNum w:abstractNumId="7">
    <w:lvl w:ilvl="0">
      <w:numFmt w:val="bullet"/>
      <w:lvlText w:val="n"/>
      <w:start w:val="1"/>
      <w:lvlJc w:val="left"/>
      <w:pPr>
        <w:ind w:left="720"/>
        <w:tabs>
          <w:tab w:val="decimal" w:pos="576"/>
        </w:tabs>
      </w:pPr>
      <w:rPr>
        <w:b w:val="true"/>
        <w:color w:val="#000000"/>
        <w:sz w:val="20"/>
        <w:lang w:val="es-ES"/>
        <w:spacing w:val="2"/>
        <w:w w:val="100"/>
        <w:strike w:val="false"/>
        <w:vertAlign w:val="baseline"/>
        <w:rFonts w:ascii="Wingdings" w:hAnsi="Wingdings"/>
      </w:rPr>
    </w:lvl>
  </w:abstractNum>
  <w:abstractNum w:abstractNumId="8">
    <w:lvl w:ilvl="0">
      <w:numFmt w:val="bullet"/>
      <w:lvlText w:val="n"/>
      <w:start w:val="1"/>
      <w:lvlJc w:val="left"/>
      <w:pPr>
        <w:ind w:left="720"/>
        <w:tabs>
          <w:tab w:val="decimal" w:pos="648"/>
        </w:tabs>
      </w:pPr>
      <w:rPr>
        <w:b w:val="true"/>
        <w:color w:val="#000000"/>
        <w:sz w:val="20"/>
        <w:lang w:val="es-ES"/>
        <w:spacing w:val="3"/>
        <w:w w:val="100"/>
        <w:strike w:val="false"/>
        <w:vertAlign w:val="baseline"/>
        <w:rFonts w:ascii="Wingdings" w:hAnsi="Wingdings"/>
      </w:rPr>
    </w:lvl>
  </w:abstractNum>
  <w:abstractNum w:abstractNumId="9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Symbol" w:hAnsi="Symbol"/>
      </w:rPr>
    </w:lvl>
  </w:abstractNum>
  <w:abstractNum w:abstractNumId="10">
    <w:lvl w:ilvl="0">
      <w:numFmt w:val="bullet"/>
      <w:lvlText w:val="n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1"/>
        <w:w w:val="100"/>
        <w:strike w:val="false"/>
        <w:vertAlign w:val="baseline"/>
        <w:rFonts w:ascii="Wingdings" w:hAnsi="Wingdings"/>
      </w:rPr>
    </w:lvl>
  </w:abstractNum>
  <w:abstractNum w:abstractNumId="11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3"/>
        <w:w w:val="100"/>
        <w:strike w:val="false"/>
        <w:vertAlign w:val="baseline"/>
        <w:rFonts w:ascii="Symbol" w:hAnsi="Symbol"/>
      </w:rPr>
    </w:lvl>
  </w:abstractNum>
  <w:abstractNum w:abstractNumId="12">
    <w:lvl w:ilvl="0">
      <w:numFmt w:val="bullet"/>
      <w:lvlText w:val=""/>
      <w:start w:val="1"/>
      <w:lvlJc w:val="left"/>
      <w:pPr>
        <w:ind w:left="720"/>
        <w:tabs>
          <w:tab w:val="decimal" w:pos="144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hyperlink" Target="http://ASP.NET" TargetMode="Externa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