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G. Plan Analítico</w:t>
      </w:r>
    </w:p>
    <w:p>
      <w:pPr>
        <w:ind w:right="3672" w:left="360" w:firstLine="-144"/>
        <w:spacing w:before="252" w:after="0" w:line="607" w:lineRule="auto"/>
        <w:jc w:val="left"/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I Unidad: Pensamiento Estratégico y Gerencia Global </w:t>
      </w: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 Especifico:</w:t>
      </w:r>
    </w:p>
    <w:p>
      <w:pPr>
        <w:ind w:right="0" w:left="1152" w:firstLine="-288"/>
        <w:spacing w:before="72" w:after="0" w:line="240" w:lineRule="auto"/>
        <w:jc w:val="left"/>
        <w:tabs>
          <w:tab w:val="clear" w:pos="288"/>
          <w:tab w:val="decimal" w:pos="1152"/>
        </w:tabs>
        <w:numPr>
          <w:ilvl w:val="0"/>
          <w:numId w:val="2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Introducir al estudiante en el área de gestión y pensamiento estratégico que le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permita el desarrollo de habilidades y destrezas de gestión en el ámbito tecnológico..</w:t>
      </w:r>
    </w:p>
    <w:p>
      <w:pPr>
        <w:ind w:right="0" w:left="360" w:firstLine="0"/>
        <w:spacing w:before="144" w:after="0" w:line="211" w:lineRule="auto"/>
        <w:jc w:val="left"/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648" w:firstLine="0"/>
        <w:spacing w:before="108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1.1 ntroducción a la gerencia y pensamiento estratégico</w:t>
      </w:r>
    </w:p>
    <w:p>
      <w:pPr>
        <w:ind w:right="4176" w:left="648" w:firstLine="0"/>
        <w:spacing w:before="0" w:after="0" w:line="283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1.2 Características del pensamiento estratégico 1.3 Planes de negocio</w:t>
      </w:r>
    </w:p>
    <w:p>
      <w:pPr>
        <w:ind w:right="0" w:left="648" w:firstLine="0"/>
        <w:spacing w:before="36" w:after="0" w:line="208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1.4 El análisis del entorno</w:t>
      </w:r>
    </w:p>
    <w:p>
      <w:pPr>
        <w:ind w:right="0" w:left="648" w:firstLine="0"/>
        <w:spacing w:before="72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1.5 Análisis estratégico DAFO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1.6 Herramientas de análisis en planificación estratégica</w:t>
      </w:r>
    </w:p>
    <w:p>
      <w:pPr>
        <w:ind w:right="0" w:left="648" w:firstLine="0"/>
        <w:spacing w:before="72" w:after="0" w:line="206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1.7 Balanced Scorecard</w:t>
      </w:r>
    </w:p>
    <w:p>
      <w:pPr>
        <w:ind w:right="0" w:left="648" w:firstLine="0"/>
        <w:spacing w:before="72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1.8 Factores que favorecen el pensamiento estratégico</w:t>
      </w:r>
    </w:p>
    <w:p>
      <w:pPr>
        <w:ind w:right="0" w:left="648" w:firstLine="0"/>
        <w:spacing w:before="36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1.9 Ventajas del pensamiento estratégico para la empresa</w:t>
      </w:r>
    </w:p>
    <w:p>
      <w:pPr>
        <w:ind w:right="0" w:left="216" w:firstLine="0"/>
        <w:spacing w:before="324" w:after="0" w:line="240" w:lineRule="auto"/>
        <w:jc w:val="left"/>
        <w:rPr>
          <w:b w:val="true"/>
          <w:color w:val="#000000"/>
          <w:sz w:val="19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II Unidad: Competencias Directivas para TI</w:t>
      </w:r>
    </w:p>
    <w:p>
      <w:pPr>
        <w:ind w:right="0" w:left="360" w:firstLine="0"/>
        <w:spacing w:before="360" w:after="0" w:line="240" w:lineRule="auto"/>
        <w:jc w:val="left"/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 Especifico:</w:t>
      </w:r>
    </w:p>
    <w:p>
      <w:pPr>
        <w:ind w:right="0" w:left="864" w:firstLine="0"/>
        <w:spacing w:before="36" w:after="0" w:line="240" w:lineRule="auto"/>
        <w:jc w:val="left"/>
        <w:tabs>
          <w:tab w:val="clear" w:pos="288"/>
          <w:tab w:val="decimal" w:pos="1152"/>
        </w:tabs>
        <w:numPr>
          <w:ilvl w:val="0"/>
          <w:numId w:val="2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Caracterizar el rol de un gerente de TI y sus competencias de dirección.</w:t>
      </w:r>
    </w:p>
    <w:p>
      <w:pPr>
        <w:ind w:right="0" w:left="360" w:firstLine="0"/>
        <w:spacing w:before="288" w:after="0" w:line="206" w:lineRule="auto"/>
        <w:jc w:val="left"/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648" w:firstLine="0"/>
        <w:spacing w:before="36" w:after="0" w:line="211" w:lineRule="auto"/>
        <w:jc w:val="left"/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2.1. Introducción</w:t>
      </w:r>
    </w:p>
    <w:p>
      <w:pPr>
        <w:ind w:right="0" w:left="648" w:firstLine="0"/>
        <w:spacing w:before="72" w:after="0" w:line="211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2.2. Funciones directivas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2.3. Relación entre liderazgo y dirección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2.4. Habilidad vs Competencia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2.5. Las capacidades mentales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2.6. Inteligencia emocional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2.7. La inteligencia instintiva</w:t>
      </w:r>
    </w:p>
    <w:p>
      <w:pPr>
        <w:ind w:right="3600" w:left="648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2.8. Habilidades de negociación y trabajo en equipo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2.9. Gestión de conflictos y resolución de problemas</w:t>
      </w:r>
    </w:p>
    <w:p>
      <w:pPr>
        <w:sectPr>
          <w:pgSz w:w="12240" w:h="15840" w:orient="portrait"/>
          <w:type w:val="nextPage"/>
          <w:textDirection w:val="lrTb"/>
          <w:pgMar w:bottom="4210" w:top="1900" w:right="1318" w:left="1382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III Unidad: Arquitectura Empresarial</w:t>
      </w:r>
    </w:p>
    <w:p>
      <w:pPr>
        <w:ind w:right="0" w:left="0" w:firstLine="0"/>
        <w:spacing w:before="180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Objetivo Específico:</w:t>
      </w:r>
    </w:p>
    <w:p>
      <w:pPr>
        <w:ind w:right="0" w:left="576" w:firstLine="0"/>
        <w:spacing w:before="36" w:after="0" w:line="240" w:lineRule="auto"/>
        <w:jc w:val="left"/>
        <w:tabs>
          <w:tab w:val="clear" w:pos="288"/>
          <w:tab w:val="decimal" w:pos="864"/>
        </w:tabs>
        <w:numPr>
          <w:ilvl w:val="0"/>
          <w:numId w:val="2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Definir una arquitectura empresarial para el área de </w:t>
      </w:r>
      <w:r>
        <w:rPr>
          <w:b w:val="true"/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TI.</w:t>
      </w:r>
    </w:p>
    <w:p>
      <w:pPr>
        <w:ind w:right="0" w:left="72" w:firstLine="0"/>
        <w:spacing w:before="324" w:after="0" w:line="204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360" w:firstLine="0"/>
        <w:spacing w:before="36" w:after="0" w:line="240" w:lineRule="auto"/>
        <w:jc w:val="left"/>
        <w:tabs>
          <w:tab w:val="right" w:leader="none" w:pos="5004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3.1	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Introducción a la arquitectura empresarial</w:t>
      </w:r>
    </w:p>
    <w:p>
      <w:pPr>
        <w:ind w:right="0" w:left="360" w:firstLine="0"/>
        <w:spacing w:before="0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3.2 Framework de arquitectura empresarial (Zachman, TOGAF, DoDAF, FEA)</w:t>
      </w:r>
    </w:p>
    <w:p>
      <w:pPr>
        <w:ind w:right="0" w:left="936" w:firstLine="-576"/>
        <w:spacing w:before="36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3.3 Relación con otros temas (ITIL y COBIT, RUP, BPM, SOA, PETI, Arquitecturas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Ágiles)</w:t>
      </w:r>
    </w:p>
    <w:p>
      <w:pPr>
        <w:ind w:right="0" w:left="360" w:firstLine="0"/>
        <w:spacing w:before="0" w:after="0" w:line="240" w:lineRule="auto"/>
        <w:jc w:val="left"/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3.4 Mapa de organización</w:t>
      </w:r>
    </w:p>
    <w:p>
      <w:pPr>
        <w:ind w:right="0" w:left="360" w:firstLine="0"/>
        <w:spacing w:before="36" w:after="0" w:line="240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3.5 Mapa de procesos de negocio</w:t>
      </w:r>
    </w:p>
    <w:p>
      <w:pPr>
        <w:ind w:right="0" w:left="360" w:firstLine="0"/>
        <w:spacing w:before="0" w:after="0" w:line="240" w:lineRule="auto"/>
        <w:jc w:val="left"/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3.6 Mapa de sistemas</w:t>
      </w:r>
    </w:p>
    <w:p>
      <w:pPr>
        <w:ind w:right="0" w:left="360" w:firstLine="0"/>
        <w:spacing w:before="0" w:after="0" w:line="240" w:lineRule="auto"/>
        <w:jc w:val="left"/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3.7 Mapa de Información</w:t>
      </w:r>
    </w:p>
    <w:p>
      <w:pPr>
        <w:ind w:right="0" w:left="360" w:firstLine="0"/>
        <w:spacing w:before="36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3.8 Diseño de modelos de Arquitectura Empresarial basada en FrameWork</w:t>
      </w:r>
    </w:p>
    <w:p>
      <w:pPr>
        <w:ind w:right="0" w:left="0" w:firstLine="0"/>
        <w:spacing w:before="1260" w:after="0" w:line="240" w:lineRule="auto"/>
        <w:jc w:val="left"/>
        <w:rPr>
          <w:b w:val="true"/>
          <w:color w:val="#000000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  <w:t xml:space="preserve">IV Unidad: Innovación Tecnológica y Confianza Digital</w:t>
      </w:r>
    </w:p>
    <w:p>
      <w:pPr>
        <w:ind w:right="0" w:left="72" w:firstLine="0"/>
        <w:spacing w:before="108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Objetivo Específico:</w:t>
      </w:r>
    </w:p>
    <w:p>
      <w:pPr>
        <w:ind w:right="216" w:left="72" w:firstLine="504"/>
        <w:spacing w:before="72" w:after="0" w:line="480" w:lineRule="auto"/>
        <w:jc w:val="left"/>
        <w:tabs>
          <w:tab w:val="clear" w:pos="288"/>
          <w:tab w:val="decimal" w:pos="864"/>
        </w:tabs>
        <w:numPr>
          <w:ilvl w:val="0"/>
          <w:numId w:val="2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Redefinir el rumbo tecnológico de una empresa mediante innovación continua. </w:t>
      </w: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Contenidos:</w:t>
      </w:r>
    </w:p>
    <w:p>
      <w:pPr>
        <w:ind w:right="0" w:left="72" w:firstLine="0"/>
        <w:spacing w:before="72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4.1 Introducción a la innovación</w:t>
      </w:r>
    </w:p>
    <w:p>
      <w:pPr>
        <w:ind w:right="0" w:left="72" w:firstLine="0"/>
        <w:spacing w:before="72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4.2 Innovación tecnológica e investigación en empresas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4.3 Investigación y Desarrollo I+D</w:t>
      </w:r>
    </w:p>
    <w:p>
      <w:pPr>
        <w:ind w:right="0" w:left="72" w:firstLine="0"/>
        <w:spacing w:before="72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4.4 Tipos de innovación tecnológica</w:t>
      </w:r>
    </w:p>
    <w:p>
      <w:pPr>
        <w:ind w:right="0" w:left="72" w:firstLine="0"/>
        <w:spacing w:before="36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4.5 Novedades, mejoras y rediseños</w:t>
      </w:r>
    </w:p>
    <w:p>
      <w:pPr>
        <w:ind w:right="0" w:left="72" w:firstLine="0"/>
        <w:spacing w:before="72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4.6 Técnicas y herramientas de Innovación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4.7 Gobierno y Confianza Digital</w:t>
      </w:r>
    </w:p>
    <w:p>
      <w:pPr>
        <w:sectPr>
          <w:pgSz w:w="12240" w:h="15840" w:orient="portrait"/>
          <w:type w:val="nextPage"/>
          <w:textDirection w:val="lrTb"/>
          <w:pgMar w:bottom="2732" w:top="3938" w:right="1801" w:left="1699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V Unidad: Gerencia de la Seguridad de la Información</w:t>
      </w:r>
    </w:p>
    <w:p>
      <w:pPr>
        <w:ind w:right="0" w:left="72" w:firstLine="0"/>
        <w:spacing w:before="144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Objetivo Específico:</w:t>
      </w:r>
    </w:p>
    <w:p>
      <w:pPr>
        <w:ind w:right="432" w:left="864" w:firstLine="-288"/>
        <w:spacing w:before="72" w:after="0" w:line="240" w:lineRule="auto"/>
        <w:jc w:val="left"/>
        <w:tabs>
          <w:tab w:val="clear" w:pos="288"/>
          <w:tab w:val="decimal" w:pos="864"/>
        </w:tabs>
        <w:numPr>
          <w:ilvl w:val="0"/>
          <w:numId w:val="2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Diseñar planes de contingencia orientado a mantener activos los procesos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negocios de la empresa.</w:t>
      </w:r>
    </w:p>
    <w:p>
      <w:pPr>
        <w:ind w:right="0" w:left="72" w:firstLine="0"/>
        <w:spacing w:before="324" w:after="0" w:line="204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72" w:firstLine="0"/>
        <w:spacing w:before="72" w:after="0" w:line="264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5.1 Seguridad de la información: distintas formas y estados de los datos</w:t>
      </w:r>
    </w:p>
    <w:p>
      <w:pPr>
        <w:ind w:right="0" w:left="72" w:firstLine="0"/>
        <w:spacing w:before="36" w:after="0" w:line="288" w:lineRule="auto"/>
        <w:jc w:val="left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5.2 ¿Ciberseguridad o seguridad de la información? Aclarando la diferencia según ISACA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5,3 Pilares de la seguridad informática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5.4 Planes de contingencia</w:t>
      </w:r>
    </w:p>
    <w:p>
      <w:pPr>
        <w:ind w:right="4896" w:left="72" w:firstLine="0"/>
        <w:spacing w:before="72" w:after="0" w:line="285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5.5 Planes de continuidad del negocio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5.6 Seguridad física vs seguridad lógica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5.7 Análisis de Riesgo</w:t>
      </w:r>
    </w:p>
    <w:p>
      <w:pPr>
        <w:ind w:right="5256" w:left="72" w:firstLine="0"/>
        <w:spacing w:before="0" w:after="0" w:line="290" w:lineRule="auto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5.8 Análisis de Impacto del Negocio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5.9 SGSI - ISO 27001</w:t>
      </w:r>
    </w:p>
    <w:p>
      <w:pPr>
        <w:ind w:right="0" w:left="0" w:firstLine="0"/>
        <w:spacing w:before="972" w:after="0" w:line="240" w:lineRule="auto"/>
        <w:jc w:val="left"/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VI Unidad: Gerencia de la Seguridad de la Información</w:t>
      </w:r>
    </w:p>
    <w:p>
      <w:pPr>
        <w:ind w:right="0" w:left="72" w:firstLine="0"/>
        <w:spacing w:before="180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Objetivo Específico:</w:t>
      </w:r>
    </w:p>
    <w:p>
      <w:pPr>
        <w:ind w:right="432" w:left="864" w:firstLine="-288"/>
        <w:spacing w:before="36" w:after="0" w:line="240" w:lineRule="auto"/>
        <w:jc w:val="left"/>
        <w:tabs>
          <w:tab w:val="clear" w:pos="288"/>
          <w:tab w:val="decimal" w:pos="864"/>
        </w:tabs>
        <w:numPr>
          <w:ilvl w:val="0"/>
          <w:numId w:val="2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Diseñar planes de contingencia orientado a mantener activos los procesos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negocios de la empresa.</w:t>
      </w:r>
    </w:p>
    <w:p>
      <w:pPr>
        <w:ind w:right="0" w:left="72" w:firstLine="0"/>
        <w:spacing w:before="360" w:after="0" w:line="201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72" w:firstLine="0"/>
        <w:spacing w:before="72" w:after="0" w:line="216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6.1 Escenarios de evaluación financiera</w:t>
      </w:r>
    </w:p>
    <w:p>
      <w:pPr>
        <w:ind w:right="1944" w:left="72" w:firstLine="0"/>
        <w:spacing w:before="36" w:after="0" w:line="30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6.2 Proyección de los estados financieros y flujos de caja del proyecto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6.3 Estimación del punto de equilibrio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6.4 Estimación de la tasa de interés de oportunidad</w:t>
      </w:r>
    </w:p>
    <w:p>
      <w:pPr>
        <w:ind w:right="0" w:left="72" w:firstLine="0"/>
        <w:spacing w:before="36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6.5 Indicadores de evaluación financiera: VAN y TIR</w:t>
      </w:r>
    </w:p>
    <w:p>
      <w:pPr>
        <w:ind w:right="0" w:left="72" w:firstLine="0"/>
        <w:spacing w:before="72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6.6 Relación Costo — Beneficio (B/C}</w:t>
      </w:r>
    </w:p>
    <w:p>
      <w:pPr>
        <w:ind w:right="0" w:left="72" w:firstLine="0"/>
        <w:spacing w:before="0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6.7 Interpretación de estados financieros</w:t>
      </w:r>
    </w:p>
    <w:p>
      <w:pPr>
        <w:sectPr>
          <w:pgSz w:w="12240" w:h="15840" w:orient="portrait"/>
          <w:type w:val="nextPage"/>
          <w:textDirection w:val="lrTb"/>
          <w:pgMar w:bottom="4438" w:top="1792" w:right="1622" w:left="1698" w:header="720" w:footer="720"/>
          <w:titlePg w:val="false"/>
        </w:sectPr>
      </w:pPr>
    </w:p>
    <w:p>
      <w:pPr>
        <w:ind w:right="0" w:left="72" w:firstLine="0"/>
        <w:spacing w:before="0" w:after="0" w:line="276" w:lineRule="auto"/>
        <w:jc w:val="left"/>
        <w:tabs>
          <w:tab w:val="clear" w:pos="288"/>
          <w:tab w:val="decimal" w:pos="360"/>
        </w:tabs>
        <w:numPr>
          <w:ilvl w:val="0"/>
          <w:numId w:val="3"/>
        </w:numPr>
        <w:rPr>
          <w:b w:val="true"/>
          <w:color w:val="#000000"/>
          <w:sz w:val="19"/>
          <w:lang w:val="es-ES"/>
          <w:spacing w:val="8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9"/>
          <w:lang w:val="es-ES"/>
          <w:spacing w:val="8"/>
          <w:w w:val="100"/>
          <w:strike w:val="false"/>
          <w:vertAlign w:val="baseline"/>
          <w:rFonts w:ascii="Verdana" w:hAnsi="Verdana"/>
        </w:rPr>
        <w:t xml:space="preserve">Orientaciones Metodológicas</w:t>
      </w:r>
    </w:p>
    <w:p>
      <w:pPr>
        <w:ind w:right="0" w:left="72" w:firstLine="0"/>
        <w:spacing w:before="180" w:after="0" w:line="280" w:lineRule="auto"/>
        <w:jc w:val="both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Para esta asignatura es necesario que el estudiantado comprenda la finalidad de la misma, el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contenido a desarrollar, las formas de evaluación, así como las normas básicas de la trilogía de </w:t>
      </w: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la relación docente-estudiantes-autoridades académicas y los derechos </w:t>
      </w:r>
      <w:r>
        <w:rPr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que asisten al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estudiantado de acuerdo con lo establecido en el RRAE.</w:t>
      </w:r>
    </w:p>
    <w:p>
      <w:pPr>
        <w:ind w:right="0" w:left="72" w:firstLine="0"/>
        <w:spacing w:before="0" w:after="0" w:line="288" w:lineRule="auto"/>
        <w:jc w:val="both"/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Las formas organizativas de enseñanzas (FOE) que se implementarán serán de acuerdo al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Modelo Educativo de la UPOLI como: las conferencias dialogadas y participativas, preguntas de control y de comprobación con el objetivo de dinamizar la clase. Los círculos de estudio </w:t>
      </w: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serán conformados por grupo de cuatro a cinco estudiantes, para facilitar la discusión y comprensión de los temas escogidos para su posterior discusión, donde se aclararán y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consolidarán los conocimientos. Se orientarán temas para el autoestudio y se reforzarán los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temas abordados tanto en las conferencias presenciales como en los casos donde haya o se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presenten situaciones que no han sido de fácil compresión por los estudiantes.</w:t>
      </w:r>
    </w:p>
    <w:p>
      <w:pPr>
        <w:ind w:right="0" w:left="72" w:firstLine="0"/>
        <w:spacing w:before="0" w:after="0" w:line="288" w:lineRule="auto"/>
        <w:jc w:val="both"/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En el proceso metodológico se debe desarrollar y mantener ventajas competitivas a través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innovación es un imperativo para las organizaciones contemporáneas. Se debe lograr este objetivo haciendo uso eficiente de la información y el conocimiento, para lo cual las tecnologías </w:t>
      </w: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de información constituyen un recurso estratégico. Sabemos que estas tecnologías no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producen por sí mismas los cambios deseados; se necesita un esfuerzo en la administración </w:t>
      </w: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para que sea liderado por profesionales con buen entendimiento de las tecnologías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información y gran capacidad gerencia'.</w:t>
      </w:r>
    </w:p>
    <w:p>
      <w:pPr>
        <w:ind w:right="0" w:left="72" w:firstLine="0"/>
        <w:spacing w:before="288" w:after="0" w:line="240" w:lineRule="auto"/>
        <w:jc w:val="left"/>
        <w:tabs>
          <w:tab w:val="clear" w:pos="288"/>
          <w:tab w:val="decimal" w:pos="360"/>
        </w:tabs>
        <w:numPr>
          <w:ilvl w:val="0"/>
          <w:numId w:val="3"/>
        </w:numPr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9"/>
          <w:lang w:val="es-ES"/>
          <w:spacing w:val="6"/>
          <w:w w:val="100"/>
          <w:strike w:val="false"/>
          <w:vertAlign w:val="baseline"/>
          <w:rFonts w:ascii="Verdana" w:hAnsi="Verdana"/>
        </w:rPr>
        <w:t xml:space="preserve">Evaluación de los Aprendizajes</w:t>
      </w:r>
    </w:p>
    <w:p>
      <w:pPr>
        <w:ind w:right="0" w:left="72" w:firstLine="0"/>
        <w:spacing w:before="180" w:after="0" w:line="290" w:lineRule="auto"/>
        <w:jc w:val="both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El sistema de evaluación del aprendizaje en la UPOLI, de acuerdo al artículo 75 del Reglamento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Régimen Académico, éstas serán fijadas por el/la docente de casa asignatura, a través del sílabo correspondiente y presentado a los/las estudiantes el primer día de clases.</w:t>
      </w:r>
    </w:p>
    <w:p>
      <w:pPr>
        <w:ind w:right="0" w:left="72" w:firstLine="0"/>
        <w:spacing w:before="216" w:after="0" w:line="288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 acuerdo al articulo 74 del Reglamento del Régimen Académico, la evaluación será a través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las diferentes técnicas tales como:</w:t>
      </w:r>
    </w:p>
    <w:p>
      <w:pPr>
        <w:ind w:right="0" w:left="432" w:firstLine="0"/>
        <w:spacing w:before="252" w:after="0" w:line="240" w:lineRule="auto"/>
        <w:jc w:val="left"/>
        <w:tabs>
          <w:tab w:val="clear" w:pos="432"/>
          <w:tab w:val="decimal" w:pos="864"/>
        </w:tabs>
        <w:numPr>
          <w:ilvl w:val="0"/>
          <w:numId w:val="4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Pruebas diagnósticas, parciales y finales, orales y escritas_</w:t>
      </w:r>
    </w:p>
    <w:p>
      <w:pPr>
        <w:ind w:right="0" w:left="432" w:firstLine="0"/>
        <w:spacing w:before="0" w:after="0" w:line="240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.</w:t>
      </w:r>
      <w:r>
        <w:rPr>
          <w:color w:val="#000000"/>
          <w:sz w:val="21"/>
          <w:lang w:val="es-ES"/>
          <w:spacing w:val="5"/>
          <w:w w:val="130"/>
          <w:strike w:val="false"/>
          <w:vertAlign w:val="superscript"/>
          <w:rFonts w:ascii="Arial" w:hAnsi="Arial"/>
        </w:rPr>
        <w:t xml:space="preserve">7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 Trabajo individual o de equipo en clase.</w:t>
      </w:r>
    </w:p>
    <w:p>
      <w:pPr>
        <w:ind w:right="0" w:left="792" w:firstLine="-360"/>
        <w:spacing w:before="0" w:after="0" w:line="285" w:lineRule="auto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y' Trabajos de estudio independiente (fuera del aula) observaciones, investigaciones, car</w:t>
        <w:softHyphen/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petas, proyectos, reportes escritos, análisis crítico, entre otros. Podrán ser individuales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❑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colectivos.</w:t>
      </w:r>
    </w:p>
    <w:p>
      <w:pPr>
        <w:ind w:right="0" w:left="432" w:firstLine="0"/>
        <w:spacing w:before="0" w:after="0" w:line="240" w:lineRule="auto"/>
        <w:jc w:val="left"/>
        <w:tabs>
          <w:tab w:val="clear" w:pos="432"/>
          <w:tab w:val="decimal" w:pos="864"/>
        </w:tabs>
        <w:numPr>
          <w:ilvl w:val="0"/>
          <w:numId w:val="5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Observación de los estudiantes por parte del docente/la docente.</w:t>
      </w:r>
    </w:p>
    <w:p>
      <w:pPr>
        <w:ind w:right="0" w:left="432" w:firstLine="0"/>
        <w:spacing w:before="252" w:after="0" w:line="240" w:lineRule="auto"/>
        <w:jc w:val="left"/>
        <w:tabs>
          <w:tab w:val="clear" w:pos="432"/>
          <w:tab w:val="decimal" w:pos="864"/>
        </w:tabs>
        <w:numPr>
          <w:ilvl w:val="0"/>
          <w:numId w:val="6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Autoevaluación y coevaluación de los/las estudiantes.</w:t>
      </w:r>
    </w:p>
    <w:p>
      <w:pPr>
        <w:ind w:right="0" w:left="432" w:firstLine="0"/>
        <w:spacing w:before="0" w:after="0" w:line="216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y' Portafolio.</w:t>
      </w:r>
    </w:p>
    <w:p>
      <w:pPr>
        <w:ind w:right="0" w:left="432" w:firstLine="0"/>
        <w:spacing w:before="432" w:after="0" w:line="240" w:lineRule="auto"/>
        <w:jc w:val="left"/>
        <w:tabs>
          <w:tab w:val="clear" w:pos="432"/>
          <w:tab w:val="decimal" w:pos="864"/>
        </w:tabs>
        <w:numPr>
          <w:ilvl w:val="0"/>
          <w:numId w:val="6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Foros, seminarios, ensayos, estudios de caso, simulación de caso.</w:t>
      </w:r>
    </w:p>
    <w:p>
      <w:pPr>
        <w:ind w:right="0" w:left="72" w:firstLine="0"/>
        <w:spacing w:before="396" w:after="0" w:line="292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 evaluación de las asignaturas que se implementará en las diversas modalidades educativas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se clasificará en: evaluación sistemática y evaluación parcial.</w:t>
      </w:r>
    </w:p>
    <w:p>
      <w:pPr>
        <w:ind w:right="0" w:left="72" w:firstLine="0"/>
        <w:spacing w:before="216" w:after="0" w:line="295" w:lineRule="auto"/>
        <w:jc w:val="both"/>
        <w:rPr>
          <w:b w:val="true"/>
          <w:i w:val="true"/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i w:val="true"/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Evaluación sistemática: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integra los resultados acumulados de las diversas pruebas o trabajos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asignados por el/la docente. Se realiza antes de cada prueba parcial y el estudiante debe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acumular 30 puntos; en total acumulará 60 puntos en concepto de evaluación sistemática.</w:t>
      </w:r>
    </w:p>
    <w:p>
      <w:pPr>
        <w:sectPr>
          <w:pgSz w:w="12240" w:h="15840" w:orient="portrait"/>
          <w:type w:val="nextPage"/>
          <w:textDirection w:val="lrTb"/>
          <w:pgMar w:bottom="390" w:top="1400" w:right="1313" w:left="1387" w:header="720" w:footer="720"/>
          <w:titlePg w:val="false"/>
        </w:sectPr>
      </w:pPr>
    </w:p>
    <w:p>
      <w:pPr>
        <w:ind w:right="0" w:left="144" w:firstLine="0"/>
        <w:spacing w:before="0" w:after="0" w:line="290" w:lineRule="auto"/>
        <w:jc w:val="both"/>
        <w:rPr>
          <w:b w:val="true"/>
          <w:i w:val="true"/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i w:val="true"/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Evaluación parcial: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se realiza mediante prueba oral, escrita, proyecto de curso, ensayo o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cualquier actividad de evaluación establecida según las características de cada asignatura. A lo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largo del ciclo académico se realizarán dos evaluaciones parciales cada una de 20 puntos. En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total se acumulará 40 puntos en concepto de evaluación parcial. Esta asignatura finaliza con</w:t>
      </w:r>
    </w:p>
    <w:p>
      <w:pPr>
        <w:ind w:right="0" w:left="144" w:firstLine="0"/>
        <w:spacing w:before="0" w:after="0" w:line="283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proyecto de curso: Plan de Contingencia: "Presentación de un plan de contingencia para una empresa" con un valor de una prueba parcial (20 puntos).</w:t>
      </w:r>
    </w:p>
    <w:p>
      <w:pPr>
        <w:ind w:right="0" w:left="144" w:firstLine="0"/>
        <w:spacing w:before="216" w:after="0" w:line="285" w:lineRule="auto"/>
        <w:jc w:val="left"/>
        <w:tabs>
          <w:tab w:val="clear" w:pos="576"/>
          <w:tab w:val="decimal" w:pos="720"/>
        </w:tabs>
        <w:numPr>
          <w:ilvl w:val="0"/>
          <w:numId w:val="7"/>
        </w:numPr>
        <w:rPr>
          <w:b w:val="true"/>
          <w:color w:val="#000000"/>
          <w:sz w:val="20"/>
          <w:lang w:val="es-ES"/>
          <w:spacing w:val="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La evaluación diagnostica: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tiene como propósito los conocimientos previos de los estu-</w:t>
      </w:r>
      <w:r>
        <w:rPr>
          <w:color w:val="#000000"/>
          <w:sz w:val="21"/>
          <w:lang w:val="en-US"/>
          <w:w w:val="100"/>
          <w:strike w:val="false"/>
          <w:vertAlign w:val="baseline"/>
          <w:rFonts w:ascii="Arial" w:hAnsi="Arial"/>
        </w:rPr>
      </w:r>
    </w:p>
    <w:p>
      <w:pPr>
        <w:ind w:right="0" w:left="648" w:firstLine="0"/>
        <w:spacing w:before="108" w:after="0" w:line="278" w:lineRule="auto"/>
        <w:jc w:val="both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diantes al inicio del curso o de una unidad. Los resultados del diagnóstico permitirán intro</w:t>
        <w:softHyphen/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ducir cambios en el planeamiento y ajustar la docencia a las necesidades reales de apren</w:t>
        <w:softHyphen/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dizaje de los estudiantes.</w:t>
      </w:r>
    </w:p>
    <w:p>
      <w:pPr>
        <w:ind w:right="0" w:left="720" w:firstLine="-576"/>
        <w:spacing w:before="324" w:after="0" w:line="288" w:lineRule="auto"/>
        <w:jc w:val="both"/>
        <w:tabs>
          <w:tab w:val="clear" w:pos="576"/>
          <w:tab w:val="decimal" w:pos="720"/>
        </w:tabs>
        <w:numPr>
          <w:ilvl w:val="0"/>
          <w:numId w:val="8"/>
        </w:numP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La evaluación formativa: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 proceso tiene como propósito identificar como progresa el estudiante para fortalecer sus aprendizajes o qué dificultades presenta para introducir es</w:t>
        <w:softHyphen/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trategias de retroalimentación o remediación.</w:t>
      </w:r>
    </w:p>
    <w:p>
      <w:pPr>
        <w:ind w:right="0" w:left="720" w:firstLine="-648"/>
        <w:spacing w:before="288" w:after="0" w:line="285" w:lineRule="auto"/>
        <w:jc w:val="both"/>
        <w:tabs>
          <w:tab w:val="clear" w:pos="648"/>
          <w:tab w:val="decimal" w:pos="720"/>
        </w:tabs>
        <w:numPr>
          <w:ilvl w:val="0"/>
          <w:numId w:val="9"/>
        </w:numPr>
        <w:rPr>
          <w:b w:val="true"/>
          <w:color w:val="#000000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  <w:t xml:space="preserve">La evaluación Sumativa: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tiene como propósito verificar los aprendizajes al finalizar de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determinados periodos. Sirve para acreditar lo que el estudiante aprendió en ese o esos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periodos.</w:t>
      </w:r>
    </w:p>
    <w:p>
      <w:pPr>
        <w:ind w:right="0" w:left="0" w:firstLine="0"/>
        <w:spacing w:before="252" w:after="0" w:line="240" w:lineRule="auto"/>
        <w:jc w:val="left"/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J. Bibliografía y Recursos Didácticos</w:t>
      </w:r>
    </w:p>
    <w:p>
      <w:pPr>
        <w:ind w:right="0" w:left="0" w:firstLine="0"/>
        <w:spacing w:before="360" w:after="0" w:line="240" w:lineRule="auto"/>
        <w:jc w:val="left"/>
        <w:rPr>
          <w:b w:val="true"/>
          <w:color w:val="#000000"/>
          <w:sz w:val="19"/>
          <w:lang w:val="es-ES"/>
          <w:spacing w:val="6"/>
          <w:w w:val="100"/>
          <w:strike w:val="false"/>
          <w:u w:val="singl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6"/>
          <w:w w:val="100"/>
          <w:strike w:val="false"/>
          <w:u w:val="single"/>
          <w:vertAlign w:val="baseline"/>
          <w:rFonts w:ascii="Tahoma" w:hAnsi="Tahoma"/>
        </w:rPr>
        <w:t xml:space="preserve">Bibliografía</w:t>
      </w:r>
    </w:p>
    <w:p>
      <w:pPr>
        <w:ind w:right="0" w:left="144" w:firstLine="0"/>
        <w:spacing w:before="216" w:after="0" w:line="240" w:lineRule="auto"/>
        <w:jc w:val="left"/>
        <w:tabs>
          <w:tab w:val="clear" w:pos="360"/>
          <w:tab w:val="decimal" w:pos="504"/>
        </w:tabs>
        <w:numPr>
          <w:ilvl w:val="0"/>
          <w:numId w:val="10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Armenteros, M., &amp; Vega, C. (1999). La innovación tecnológica. La Habana: Félix Varela.</w:t>
      </w:r>
    </w:p>
    <w:p>
      <w:pPr>
        <w:ind w:right="0" w:left="432" w:firstLine="0"/>
        <w:spacing w:before="144" w:after="0" w:line="240" w:lineRule="auto"/>
        <w:jc w:val="both"/>
        <w:tabs>
          <w:tab w:val="clear" w:pos="216"/>
          <w:tab w:val="decimal" w:pos="648"/>
        </w:tabs>
        <w:numPr>
          <w:ilvl w:val="0"/>
          <w:numId w:val="11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Castro Díaz-Balart, F. (2002). Ciencia, innovación y futuro. Barcelona: Grijalbo. Hernández, </w:t>
      </w: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(2007). Mercadotecnia en la empresa cubana: continuación del desafío. La Habana: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Editorial Imágenes.</w:t>
      </w:r>
    </w:p>
    <w:p>
      <w:pPr>
        <w:ind w:right="0" w:left="72" w:firstLine="0"/>
        <w:spacing w:before="144" w:after="0" w:line="240" w:lineRule="auto"/>
        <w:jc w:val="both"/>
        <w:tabs>
          <w:tab w:val="clear" w:pos="432"/>
          <w:tab w:val="decimal" w:pos="504"/>
        </w:tabs>
        <w:numPr>
          <w:ilvl w:val="0"/>
          <w:numId w:val="6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León, N. (2008). Gestión de la innovación tecnológica en el mundo empresarial del S.XXI.</w:t>
      </w:r>
    </w:p>
    <w:p>
      <w:pPr>
        <w:ind w:right="0" w:left="504" w:firstLine="-432"/>
        <w:spacing w:before="108" w:after="0" w:line="240" w:lineRule="auto"/>
        <w:jc w:val="both"/>
        <w:tabs>
          <w:tab w:val="clear" w:pos="432"/>
          <w:tab w:val="decimal" w:pos="504"/>
        </w:tabs>
        <w:numPr>
          <w:ilvl w:val="0"/>
          <w:numId w:val="6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Muñiz, R., (2011). Concepto de investigación de mercados. Bosch, M. T., Serrats, J. M., &amp;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Tarrazon, M. A. (2007). NPV as a function of the IRR: the value. Journal of Applied Finance,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41-45</w:t>
      </w:r>
    </w:p>
    <w:p>
      <w:pPr>
        <w:ind w:right="0" w:left="432" w:firstLine="0"/>
        <w:spacing w:before="144" w:after="0" w:line="240" w:lineRule="auto"/>
        <w:jc w:val="left"/>
        <w:tabs>
          <w:tab w:val="clear" w:pos="216"/>
          <w:tab w:val="decimal" w:pos="648"/>
        </w:tabs>
        <w:numPr>
          <w:ilvl w:val="0"/>
          <w:numId w:val="12"/>
        </w:numP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Brown, K. H. (1981). Estudio internacional de la relación entre las modificaciones de la tasa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descuento y los movimientos </w:t>
      </w: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del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tipo de cambio (Spanish). Monetaria., 1-16.</w:t>
      </w:r>
    </w:p>
    <w:p>
      <w:pPr>
        <w:ind w:right="0" w:left="432" w:firstLine="0"/>
        <w:spacing w:before="288" w:after="0" w:line="240" w:lineRule="auto"/>
        <w:jc w:val="left"/>
        <w:tabs>
          <w:tab w:val="clear" w:pos="144"/>
          <w:tab w:val="decimal" w:pos="576"/>
        </w:tabs>
        <w:numPr>
          <w:ilvl w:val="0"/>
          <w:numId w:val="13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Carrillo Rodríguez, F., &amp; Carrillo Manotas, P. (2012). Estructura Matemática para la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Evaluación de Proyectos. Bogotá: C.E.S.A.</w:t>
      </w:r>
    </w:p>
    <w:p>
      <w:pPr>
        <w:ind w:right="0" w:left="432" w:firstLine="0"/>
        <w:spacing w:before="252" w:after="0" w:line="240" w:lineRule="auto"/>
        <w:jc w:val="left"/>
        <w:tabs>
          <w:tab w:val="clear" w:pos="144"/>
          <w:tab w:val="decimal" w:pos="576"/>
        </w:tabs>
        <w:numPr>
          <w:ilvl w:val="0"/>
          <w:numId w:val="13"/>
        </w:numP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Azofra, V. (2012). Pasado y presente de las finanzas corporativas. Revista de Contabilidad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y Dirección, 15, 135-166.</w:t>
      </w:r>
    </w:p>
    <w:p>
      <w:pPr>
        <w:ind w:right="0" w:left="432" w:firstLine="0"/>
        <w:spacing w:before="288" w:after="0" w:line="240" w:lineRule="auto"/>
        <w:jc w:val="left"/>
        <w:tabs>
          <w:tab w:val="clear" w:pos="144"/>
          <w:tab w:val="decimal" w:pos="576"/>
        </w:tabs>
        <w:numPr>
          <w:ilvl w:val="0"/>
          <w:numId w:val="13"/>
        </w:numP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Balyeat, </w:t>
      </w:r>
      <w:r>
        <w:rPr>
          <w:b w:val="true"/>
          <w:color w:val="#000000"/>
          <w:sz w:val="20"/>
          <w:lang w:val="es-ES"/>
          <w:spacing w:val="13"/>
          <w:w w:val="100"/>
          <w:strike w:val="false"/>
          <w:vertAlign w:val="baseline"/>
          <w:rFonts w:ascii="Tahoma" w:hAnsi="Tahoma"/>
        </w:rPr>
        <w:t xml:space="preserve">B., &amp; </w:t>
      </w:r>
      <w: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Cagle, J. (2015). MIRR: The means to an end? Reinforcing optima'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investement decisions using the NPV rule. Journal of Financial Education., 90-102.</w:t>
      </w:r>
    </w:p>
    <w:p>
      <w:pPr>
        <w:ind w:right="0" w:left="432" w:firstLine="0"/>
        <w:spacing w:before="252" w:after="0" w:line="240" w:lineRule="auto"/>
        <w:jc w:val="left"/>
        <w:tabs>
          <w:tab w:val="clear" w:pos="144"/>
          <w:tab w:val="decimal" w:pos="576"/>
        </w:tabs>
        <w:numPr>
          <w:ilvl w:val="0"/>
          <w:numId w:val="13"/>
        </w:numP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Beruvides, M. G. (2015). Multiple Internal Rate of Return Revisited: Frequency of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Occurrences. Engineering Economist., 75-87.</w:t>
      </w:r>
    </w:p>
    <w:p>
      <w:pPr>
        <w:ind w:right="0" w:left="72" w:firstLine="0"/>
        <w:spacing w:before="108" w:after="0" w:line="240" w:lineRule="auto"/>
        <w:jc w:val="left"/>
        <w:tabs>
          <w:tab w:val="clear" w:pos="432"/>
          <w:tab w:val="decimal" w:pos="504"/>
        </w:tabs>
        <w:numPr>
          <w:ilvl w:val="0"/>
          <w:numId w:val="6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Santos, J. C. (2014). Seguridad y alta disponibilidad. Bogotá, Colombia: Ra-ma Editorial.</w:t>
      </w:r>
    </w:p>
    <w:sectPr>
      <w:pgSz w:w="12240" w:h="15840" w:orient="portrait"/>
      <w:type w:val="nextPage"/>
      <w:textDirection w:val="lrTb"/>
      <w:pgMar w:bottom="510" w:top="1540" w:right="1274" w:left="1346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  <w:font w:name="Wingdings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es-ES"/>
        <w:spacing w:val="8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upperLetter"/>
      <w:lvlText w:val="%1."/>
      <w:start w:val="8"/>
      <w:lvlJc w:val="left"/>
      <w:pPr>
        <w:ind w:left="720"/>
        <w:tabs>
          <w:tab w:val="decimal" w:pos="288"/>
        </w:tabs>
      </w:pPr>
      <w:rPr>
        <w:b w:val="true"/>
        <w:color w:val="#000000"/>
        <w:sz w:val="19"/>
        <w:lang w:val="es-ES"/>
        <w:spacing w:val="8"/>
        <w:w w:val="100"/>
        <w:strike w:val="false"/>
        <w:vertAlign w:val="baseline"/>
        <w:rFonts w:ascii="Verdana" w:hAnsi="Verdana"/>
      </w:rPr>
    </w:lvl>
  </w:abstractNum>
  <w:abstractNum w:abstractNumId="3">
    <w:lvl w:ilvl="0">
      <w:numFmt w:val="bullet"/>
      <w:lvlText w:val="/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8"/>
        <w:w w:val="100"/>
        <w:strike w:val="false"/>
        <w:vertAlign w:val="baseline"/>
        <w:rFonts w:ascii="Arial" w:hAnsi="Arial"/>
      </w:rPr>
    </w:lvl>
  </w:abstractNum>
  <w:abstractNum w:abstractNumId="4">
    <w:lvl w:ilvl="0">
      <w:numFmt w:val="bullet"/>
      <w:lvlText w:val="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9"/>
        <w:w w:val="100"/>
        <w:strike w:val="false"/>
        <w:vertAlign w:val="baseline"/>
        <w:rFonts w:ascii="Wingdings" w:hAnsi="Wingdings"/>
      </w:rPr>
    </w:lvl>
  </w:abstractNum>
  <w:abstractNum w:abstractNumId="5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4"/>
        <w:w w:val="100"/>
        <w:strike w:val="false"/>
        <w:vertAlign w:val="baseline"/>
        <w:rFonts w:ascii="Symbol" w:hAnsi="Symbol"/>
      </w:rPr>
    </w:lvl>
  </w:abstractNum>
  <w:abstractNum w:abstractNumId="6">
    <w:lvl w:ilvl="0">
      <w:numFmt w:val="bullet"/>
      <w:lvlText w:val=""/>
      <w:start w:val="1"/>
      <w:lvlJc w:val="left"/>
      <w:pPr>
        <w:ind w:left="720"/>
        <w:tabs>
          <w:tab w:val="decimal" w:pos="576"/>
        </w:tabs>
      </w:pPr>
      <w:rPr>
        <w:b w:val="true"/>
        <w:color w:val="#000000"/>
        <w:sz w:val="20"/>
        <w:lang w:val="es-ES"/>
        <w:spacing w:val="5"/>
        <w:w w:val="100"/>
        <w:strike w:val="false"/>
        <w:vertAlign w:val="baseline"/>
        <w:rFonts w:ascii="Wingdings" w:hAnsi="Wingdings"/>
      </w:rPr>
    </w:lvl>
  </w:abstractNum>
  <w:abstractNum w:abstractNumId="7">
    <w:lvl w:ilvl="0">
      <w:numFmt w:val="bullet"/>
      <w:lvlText w:val="n"/>
      <w:start w:val="1"/>
      <w:lvlJc w:val="left"/>
      <w:pPr>
        <w:ind w:left="720"/>
        <w:tabs>
          <w:tab w:val="decimal" w:pos="576"/>
        </w:tabs>
      </w:pPr>
      <w:rPr>
        <w:b w:val="true"/>
        <w:color w:val="#000000"/>
        <w:sz w:val="20"/>
        <w:lang w:val="es-ES"/>
        <w:spacing w:val="2"/>
        <w:w w:val="100"/>
        <w:strike w:val="false"/>
        <w:vertAlign w:val="baseline"/>
        <w:rFonts w:ascii="Wingdings" w:hAnsi="Wingdings"/>
      </w:rPr>
    </w:lvl>
  </w:abstractNum>
  <w:abstractNum w:abstractNumId="8">
    <w:lvl w:ilvl="0">
      <w:numFmt w:val="bullet"/>
      <w:lvlText w:val="n"/>
      <w:start w:val="1"/>
      <w:lvlJc w:val="left"/>
      <w:pPr>
        <w:ind w:left="720"/>
        <w:tabs>
          <w:tab w:val="decimal" w:pos="648"/>
        </w:tabs>
      </w:pPr>
      <w:rPr>
        <w:b w:val="true"/>
        <w:color w:val="#000000"/>
        <w:sz w:val="20"/>
        <w:lang w:val="es-ES"/>
        <w:spacing w:val="3"/>
        <w:w w:val="100"/>
        <w:strike w:val="false"/>
        <w:vertAlign w:val="baseline"/>
        <w:rFonts w:ascii="Wingdings" w:hAnsi="Wingdings"/>
      </w:rPr>
    </w:lvl>
  </w:abstractNum>
  <w:abstractNum w:abstractNumId="9">
    <w:lvl w:ilvl="0">
      <w:numFmt w:val="bullet"/>
      <w:lvlText w:val=""/>
      <w:start w:val="1"/>
      <w:lvlJc w:val="left"/>
      <w:pPr>
        <w:ind w:left="720"/>
        <w:tabs>
          <w:tab w:val="decimal" w:pos="360"/>
        </w:tabs>
      </w:pPr>
      <w:rPr>
        <w:color w:val="#000000"/>
        <w:sz w:val="21"/>
        <w:lang w:val="es-ES"/>
        <w:spacing w:val="8"/>
        <w:w w:val="100"/>
        <w:strike w:val="false"/>
        <w:vertAlign w:val="baseline"/>
        <w:rFonts w:ascii="Symbol" w:hAnsi="Symbol"/>
      </w:rPr>
    </w:lvl>
  </w:abstractNum>
  <w:abstractNum w:abstractNumId="10">
    <w:lvl w:ilvl="0">
      <w:numFmt w:val="bullet"/>
      <w:lvlText w:val="n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es-ES"/>
        <w:spacing w:val="1"/>
        <w:w w:val="100"/>
        <w:strike w:val="false"/>
        <w:vertAlign w:val="baseline"/>
        <w:rFonts w:ascii="Wingdings" w:hAnsi="Wingdings"/>
      </w:rPr>
    </w:lvl>
  </w:abstractNum>
  <w:abstractNum w:abstractNumId="11">
    <w:lvl w:ilvl="0">
      <w:numFmt w:val="bullet"/>
      <w:lvlText w:val="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es-ES"/>
        <w:spacing w:val="3"/>
        <w:w w:val="100"/>
        <w:strike w:val="false"/>
        <w:vertAlign w:val="baseline"/>
        <w:rFonts w:ascii="Symbol" w:hAnsi="Symbol"/>
      </w:rPr>
    </w:lvl>
  </w:abstractNum>
  <w:abstractNum w:abstractNumId="12">
    <w:lvl w:ilvl="0">
      <w:numFmt w:val="bullet"/>
      <w:lvlText w:val=""/>
      <w:start w:val="1"/>
      <w:lvlJc w:val="left"/>
      <w:pPr>
        <w:ind w:left="720"/>
        <w:tabs>
          <w:tab w:val="decimal" w:pos="144"/>
        </w:tabs>
      </w:pPr>
      <w:rPr>
        <w:color w:val="#000000"/>
        <w:sz w:val="21"/>
        <w:lang w:val="es-ES"/>
        <w:spacing w:val="10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