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03EBA7C" w:rsidR="003C0FAB" w:rsidRPr="007B46B7" w:rsidRDefault="00B10D1A">
            <w:pPr>
              <w:rPr>
                <w:rFonts w:ascii="Tahoma" w:hAnsi="Tahoma" w:cs="Tahoma"/>
                <w:sz w:val="20"/>
                <w:szCs w:val="20"/>
              </w:rPr>
            </w:pPr>
            <w:r w:rsidRPr="00B10D1A">
              <w:rPr>
                <w:rFonts w:ascii="Tahoma" w:hAnsi="Tahoma" w:cs="Tahoma"/>
                <w:sz w:val="20"/>
                <w:szCs w:val="20"/>
              </w:rPr>
              <w:t>Analizar y diseñar los Circuitos Secuenciales síncronos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2BE59EB" w:rsidR="003C0FAB" w:rsidRPr="007B46B7" w:rsidRDefault="00A4259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49D60A20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1C15FD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0453400A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4D342D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894B95"/>
    <w:rsid w:val="008A2DDD"/>
    <w:rsid w:val="009141BA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B10D1A"/>
    <w:rsid w:val="00B3683B"/>
    <w:rsid w:val="00B5715E"/>
    <w:rsid w:val="00B81392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28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25</cp:revision>
  <dcterms:created xsi:type="dcterms:W3CDTF">2023-03-06T01:56:00Z</dcterms:created>
  <dcterms:modified xsi:type="dcterms:W3CDTF">2023-03-20T03:52:00Z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