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95B9" w14:textId="21777C0E" w:rsidR="007A19F8" w:rsidRPr="003323D2" w:rsidRDefault="003F749E" w:rsidP="007C30A4">
      <w:pPr>
        <w:pStyle w:val="Title"/>
        <w:jc w:val="center"/>
        <w:rPr>
          <w:rFonts w:ascii="Arial" w:hAnsi="Arial" w:cs="Arial"/>
          <w:sz w:val="48"/>
          <w:szCs w:val="48"/>
        </w:rPr>
      </w:pPr>
      <w:r w:rsidRPr="003323D2">
        <w:rPr>
          <w:rFonts w:ascii="Arial" w:hAnsi="Arial" w:cs="Arial"/>
          <w:sz w:val="48"/>
          <w:szCs w:val="48"/>
        </w:rPr>
        <w:t xml:space="preserve">Enabling a </w:t>
      </w:r>
      <w:r w:rsidR="00F9569E">
        <w:rPr>
          <w:rFonts w:ascii="Arial" w:hAnsi="Arial" w:cs="Arial"/>
          <w:sz w:val="48"/>
          <w:szCs w:val="48"/>
        </w:rPr>
        <w:t>complete</w:t>
      </w:r>
      <w:r w:rsidR="007A19F8" w:rsidRPr="003323D2">
        <w:rPr>
          <w:rFonts w:ascii="Arial" w:hAnsi="Arial" w:cs="Arial"/>
          <w:sz w:val="48"/>
          <w:szCs w:val="48"/>
        </w:rPr>
        <w:t xml:space="preserve"> antib</w:t>
      </w:r>
      <w:r w:rsidR="00602879">
        <w:rPr>
          <w:rFonts w:ascii="Arial" w:hAnsi="Arial" w:cs="Arial"/>
          <w:sz w:val="48"/>
          <w:szCs w:val="48"/>
        </w:rPr>
        <w:t>iotic resistance annotation using</w:t>
      </w:r>
      <w:r w:rsidR="007A19F8" w:rsidRPr="003323D2">
        <w:rPr>
          <w:rFonts w:ascii="Arial" w:hAnsi="Arial" w:cs="Arial"/>
          <w:sz w:val="48"/>
          <w:szCs w:val="48"/>
        </w:rPr>
        <w:t xml:space="preserve"> crowdsourcing</w:t>
      </w:r>
    </w:p>
    <w:p w14:paraId="18A0C7D4" w14:textId="77777777" w:rsidR="007A19F8" w:rsidRPr="00542BF9" w:rsidRDefault="007A19F8" w:rsidP="007C30A4">
      <w:pPr>
        <w:jc w:val="both"/>
        <w:rPr>
          <w:rFonts w:ascii="Arial" w:hAnsi="Arial" w:cs="Arial"/>
        </w:rPr>
      </w:pPr>
    </w:p>
    <w:p w14:paraId="6B1EDFE3" w14:textId="39B2E811" w:rsidR="007A19F8" w:rsidRPr="00F9569E" w:rsidRDefault="007A19F8" w:rsidP="0041190F">
      <w:pPr>
        <w:jc w:val="center"/>
        <w:rPr>
          <w:rFonts w:ascii="Arial" w:hAnsi="Arial" w:cs="Arial"/>
          <w:sz w:val="22"/>
          <w:szCs w:val="22"/>
          <w:vertAlign w:val="superscript"/>
        </w:rPr>
      </w:pPr>
      <w:r w:rsidRPr="00F9569E">
        <w:rPr>
          <w:rFonts w:ascii="Arial" w:hAnsi="Arial" w:cs="Arial"/>
          <w:sz w:val="22"/>
          <w:szCs w:val="22"/>
        </w:rPr>
        <w:t>G. A. Arango-Argoty</w:t>
      </w:r>
      <w:r w:rsidRPr="00F9569E">
        <w:rPr>
          <w:rFonts w:ascii="Arial" w:hAnsi="Arial" w:cs="Arial"/>
          <w:sz w:val="22"/>
          <w:szCs w:val="22"/>
          <w:vertAlign w:val="superscript"/>
        </w:rPr>
        <w:t>1</w:t>
      </w:r>
      <w:r w:rsidRPr="00F9569E">
        <w:rPr>
          <w:rFonts w:ascii="Arial" w:hAnsi="Arial" w:cs="Arial"/>
          <w:sz w:val="22"/>
          <w:szCs w:val="22"/>
        </w:rPr>
        <w:t>, A. Pruden</w:t>
      </w:r>
      <w:r w:rsidRPr="00F9569E">
        <w:rPr>
          <w:rFonts w:ascii="Arial" w:hAnsi="Arial" w:cs="Arial"/>
          <w:sz w:val="22"/>
          <w:szCs w:val="22"/>
          <w:vertAlign w:val="superscript"/>
        </w:rPr>
        <w:t>2</w:t>
      </w:r>
      <w:r w:rsidRPr="00F9569E">
        <w:rPr>
          <w:rFonts w:ascii="Arial" w:hAnsi="Arial" w:cs="Arial"/>
          <w:sz w:val="22"/>
          <w:szCs w:val="22"/>
        </w:rPr>
        <w:t>, L. S. Heath</w:t>
      </w:r>
      <w:r w:rsidRPr="00F9569E">
        <w:rPr>
          <w:rFonts w:ascii="Arial" w:hAnsi="Arial" w:cs="Arial"/>
          <w:sz w:val="22"/>
          <w:szCs w:val="22"/>
          <w:vertAlign w:val="superscript"/>
        </w:rPr>
        <w:t>1</w:t>
      </w:r>
      <w:r w:rsidRPr="00F9569E">
        <w:rPr>
          <w:rFonts w:ascii="Arial" w:hAnsi="Arial" w:cs="Arial"/>
          <w:sz w:val="22"/>
          <w:szCs w:val="22"/>
        </w:rPr>
        <w:t>, P. Vikesland</w:t>
      </w:r>
      <w:r w:rsidRPr="00F9569E">
        <w:rPr>
          <w:rFonts w:ascii="Arial" w:hAnsi="Arial" w:cs="Arial"/>
          <w:sz w:val="22"/>
          <w:szCs w:val="22"/>
          <w:vertAlign w:val="superscript"/>
        </w:rPr>
        <w:t>2</w:t>
      </w:r>
      <w:r w:rsidRPr="00F9569E">
        <w:rPr>
          <w:rFonts w:ascii="Arial" w:hAnsi="Arial" w:cs="Arial"/>
          <w:sz w:val="22"/>
          <w:szCs w:val="22"/>
        </w:rPr>
        <w:t>, and L. Zhang</w:t>
      </w:r>
      <w:r w:rsidRPr="00F9569E">
        <w:rPr>
          <w:rFonts w:ascii="Arial" w:hAnsi="Arial" w:cs="Arial"/>
          <w:sz w:val="22"/>
          <w:szCs w:val="22"/>
          <w:vertAlign w:val="superscript"/>
        </w:rPr>
        <w:t>1*</w:t>
      </w:r>
    </w:p>
    <w:p w14:paraId="1A7FF96F" w14:textId="77777777" w:rsidR="007A19F8" w:rsidRPr="00542BF9" w:rsidRDefault="007A19F8" w:rsidP="007C30A4">
      <w:pPr>
        <w:jc w:val="both"/>
        <w:rPr>
          <w:rFonts w:ascii="Arial" w:hAnsi="Arial" w:cs="Arial"/>
        </w:rPr>
      </w:pPr>
    </w:p>
    <w:p w14:paraId="3A90D571" w14:textId="77777777" w:rsidR="007A19F8" w:rsidRPr="00542BF9" w:rsidRDefault="007A19F8" w:rsidP="007C30A4">
      <w:pPr>
        <w:jc w:val="both"/>
        <w:rPr>
          <w:rFonts w:ascii="Arial" w:hAnsi="Arial" w:cs="Arial"/>
          <w:vertAlign w:val="superscript"/>
        </w:rPr>
      </w:pPr>
    </w:p>
    <w:p w14:paraId="615919C7" w14:textId="77777777" w:rsidR="007A19F8" w:rsidRPr="00542BF9" w:rsidRDefault="007A19F8" w:rsidP="007C30A4">
      <w:pPr>
        <w:jc w:val="both"/>
        <w:rPr>
          <w:rFonts w:ascii="Arial" w:hAnsi="Arial" w:cs="Arial"/>
          <w:sz w:val="21"/>
          <w:szCs w:val="21"/>
          <w:vertAlign w:val="superscript"/>
        </w:rPr>
      </w:pPr>
      <w:r w:rsidRPr="00542BF9">
        <w:rPr>
          <w:rFonts w:ascii="Arial" w:hAnsi="Arial" w:cs="Arial"/>
          <w:sz w:val="21"/>
          <w:szCs w:val="21"/>
          <w:vertAlign w:val="superscript"/>
        </w:rPr>
        <w:t>1</w:t>
      </w:r>
      <w:r w:rsidRPr="00542BF9">
        <w:rPr>
          <w:rFonts w:ascii="Arial" w:hAnsi="Arial" w:cs="Arial"/>
          <w:sz w:val="21"/>
          <w:szCs w:val="21"/>
        </w:rPr>
        <w:t>Department of Computer Science, Virginia Tech, Blacksburg, VA, USA</w:t>
      </w:r>
    </w:p>
    <w:p w14:paraId="323EDD4E" w14:textId="77777777" w:rsidR="007A19F8" w:rsidRPr="00542BF9" w:rsidRDefault="007A19F8" w:rsidP="007C30A4">
      <w:pPr>
        <w:jc w:val="both"/>
        <w:rPr>
          <w:rFonts w:ascii="Arial" w:hAnsi="Arial" w:cs="Arial"/>
          <w:sz w:val="21"/>
          <w:szCs w:val="21"/>
        </w:rPr>
      </w:pPr>
      <w:r w:rsidRPr="00542BF9">
        <w:rPr>
          <w:rFonts w:ascii="Arial" w:hAnsi="Arial" w:cs="Arial"/>
          <w:sz w:val="21"/>
          <w:szCs w:val="21"/>
          <w:vertAlign w:val="superscript"/>
        </w:rPr>
        <w:t>2</w:t>
      </w:r>
      <w:r w:rsidRPr="00542BF9">
        <w:rPr>
          <w:rFonts w:ascii="Arial" w:hAnsi="Arial" w:cs="Arial"/>
          <w:sz w:val="21"/>
          <w:szCs w:val="21"/>
        </w:rPr>
        <w:t>Department of Civil and Environmental Engineering, Virginia Tech, Blacksburg, VA, USA</w:t>
      </w:r>
    </w:p>
    <w:p w14:paraId="30BCD666" w14:textId="77777777" w:rsidR="007A19F8" w:rsidRPr="00542BF9" w:rsidRDefault="007A19F8" w:rsidP="007C30A4">
      <w:pPr>
        <w:jc w:val="both"/>
        <w:rPr>
          <w:rFonts w:ascii="Arial" w:hAnsi="Arial" w:cs="Arial"/>
        </w:rPr>
      </w:pPr>
    </w:p>
    <w:p w14:paraId="5779D175" w14:textId="77777777" w:rsidR="007A19F8" w:rsidRPr="00542BF9" w:rsidRDefault="007A19F8" w:rsidP="007C30A4">
      <w:pPr>
        <w:jc w:val="both"/>
        <w:rPr>
          <w:rFonts w:ascii="Arial" w:hAnsi="Arial" w:cs="Arial"/>
          <w:sz w:val="21"/>
          <w:szCs w:val="21"/>
        </w:rPr>
      </w:pPr>
      <w:r w:rsidRPr="00542BF9">
        <w:rPr>
          <w:rFonts w:ascii="Arial" w:hAnsi="Arial" w:cs="Arial"/>
          <w:sz w:val="21"/>
          <w:szCs w:val="21"/>
        </w:rPr>
        <w:t>* Corresponding author (lqzhang@vt.edu)</w:t>
      </w:r>
    </w:p>
    <w:p w14:paraId="77655D80" w14:textId="77777777" w:rsidR="007A19F8" w:rsidRPr="00542BF9" w:rsidRDefault="007A19F8" w:rsidP="007C30A4">
      <w:pPr>
        <w:jc w:val="both"/>
        <w:rPr>
          <w:rFonts w:ascii="Arial" w:hAnsi="Arial" w:cs="Arial"/>
          <w:sz w:val="21"/>
          <w:szCs w:val="21"/>
        </w:rPr>
      </w:pPr>
    </w:p>
    <w:p w14:paraId="06C0FC34" w14:textId="77777777" w:rsidR="007A19F8" w:rsidRDefault="007A19F8" w:rsidP="007C30A4">
      <w:pPr>
        <w:pStyle w:val="Heading1"/>
        <w:spacing w:line="360" w:lineRule="auto"/>
        <w:jc w:val="both"/>
        <w:rPr>
          <w:rFonts w:ascii="Arial" w:hAnsi="Arial" w:cs="Arial"/>
          <w:b/>
        </w:rPr>
      </w:pPr>
      <w:r w:rsidRPr="003D232E">
        <w:rPr>
          <w:rFonts w:ascii="Arial" w:hAnsi="Arial" w:cs="Arial"/>
          <w:b/>
        </w:rPr>
        <w:t>ABSTRACT</w:t>
      </w:r>
    </w:p>
    <w:p w14:paraId="383519E9" w14:textId="424CC7E7" w:rsidR="007A19F8" w:rsidRDefault="007A19F8" w:rsidP="007C30A4">
      <w:pPr>
        <w:pStyle w:val="Heading1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INTRODUCTION</w:t>
      </w:r>
    </w:p>
    <w:p w14:paraId="6F715019" w14:textId="77777777" w:rsidR="002C5FE1" w:rsidRDefault="003F749E" w:rsidP="007C30A4">
      <w:pPr>
        <w:jc w:val="both"/>
      </w:pPr>
      <w:r>
        <w:t>What is antibiotic resistance?</w:t>
      </w:r>
    </w:p>
    <w:p w14:paraId="61C3BD91" w14:textId="691AB98E" w:rsidR="003F749E" w:rsidRDefault="003F749E" w:rsidP="007C30A4">
      <w:pPr>
        <w:jc w:val="both"/>
      </w:pPr>
      <w:r>
        <w:t>What have been done for the annotation of ARGs?</w:t>
      </w:r>
    </w:p>
    <w:p w14:paraId="414D5AC5" w14:textId="4CA2DF1D" w:rsidR="002C5FE1" w:rsidRDefault="002C5FE1" w:rsidP="007C30A4">
      <w:pPr>
        <w:jc w:val="both"/>
      </w:pPr>
      <w:r>
        <w:t>What is crowdsourcing and why is useful for the annotation of ARGs?</w:t>
      </w:r>
    </w:p>
    <w:p w14:paraId="4D304168" w14:textId="400114F6" w:rsidR="003F749E" w:rsidRDefault="003F749E" w:rsidP="007C30A4">
      <w:pPr>
        <w:jc w:val="both"/>
      </w:pPr>
      <w:r>
        <w:t>What have been done usin</w:t>
      </w:r>
      <w:r w:rsidR="002C5FE1">
        <w:t>g crowdsourcing or another area</w:t>
      </w:r>
      <w:r>
        <w:t>?</w:t>
      </w:r>
    </w:p>
    <w:p w14:paraId="17EFCFF1" w14:textId="660911D0" w:rsidR="003F749E" w:rsidRDefault="003F749E" w:rsidP="007C30A4">
      <w:pPr>
        <w:jc w:val="both"/>
      </w:pPr>
      <w:r>
        <w:t>What is the potential of crowdsourcing?</w:t>
      </w:r>
    </w:p>
    <w:p w14:paraId="1DBBF37B" w14:textId="77777777" w:rsidR="000C612A" w:rsidRDefault="000C612A" w:rsidP="007C30A4">
      <w:pPr>
        <w:jc w:val="both"/>
      </w:pPr>
    </w:p>
    <w:p w14:paraId="7CF1155B" w14:textId="0818896C" w:rsidR="000C612A" w:rsidRDefault="000C612A" w:rsidP="000C612A">
      <w:pPr>
        <w:jc w:val="both"/>
      </w:pPr>
      <w:r>
        <w:t xml:space="preserve">None of the ARG databases cited in this paper make a distinction between chromosomal ARGs with those that are present in Mobile Genetic Elements (MGEs), such as plasmids and transposons; which can effectively mobilize ARGs to other bacteria via horizontal gene transfer (HGT) </w:t>
      </w:r>
      <w:r>
        <w:fldChar w:fldCharType="begin"/>
      </w:r>
      <w:r w:rsidR="00BC545F">
        <w:instrText xml:space="preserve"> ADDIN EN.CITE &lt;EndNote&gt;&lt;Cite&gt;&lt;Author&gt;Frost&lt;/Author&gt;&lt;Year&gt;2005&lt;/Year&gt;&lt;RecNum&gt;3087&lt;/RecNum&gt;&lt;DisplayText&gt;[1]&lt;/DisplayText&gt;&lt;record&gt;&lt;rec-number&gt;3087&lt;/rec-number&gt;&lt;foreign-keys&gt;&lt;key app="EN" db-id="rftwtzxfep9aplep2af5e5s3d5efswezszxw" timestamp="1507841024"&gt;3087&lt;/key&gt;&lt;/foreign-keys&gt;&lt;ref-type name="Journal Article"&gt;17&lt;/ref-type&gt;&lt;contributors&gt;&lt;authors&gt;&lt;author&gt;Frost, Laura S&lt;/author&gt;&lt;author&gt;Leplae, Raphael&lt;/author&gt;&lt;author&gt;Summers, Anne O&lt;/author&gt;&lt;author&gt;Toussaint, Ariane&lt;/author&gt;&lt;/authors&gt;&lt;/contributors&gt;&lt;titles&gt;&lt;title&gt;Mobile genetic elements: the agents of open source evolution&lt;/title&gt;&lt;secondary-title&gt;Nature reviews. Microbiology&lt;/secondary-title&gt;&lt;/titles&gt;&lt;periodical&gt;&lt;full-title&gt;Nature reviews. Microbiology&lt;/full-title&gt;&lt;/periodical&gt;&lt;pages&gt;722&lt;/pages&gt;&lt;volume&gt;3&lt;/volume&gt;&lt;number&gt;9&lt;/number&gt;&lt;dates&gt;&lt;year&gt;2005&lt;/year&gt;&lt;/dates&gt;&lt;isbn&gt;1740-1526&lt;/isbn&gt;&lt;urls&gt;&lt;/urls&gt;&lt;/record&gt;&lt;/Cite&gt;&lt;/EndNote&gt;</w:instrText>
      </w:r>
      <w:r>
        <w:fldChar w:fldCharType="separate"/>
      </w:r>
      <w:r w:rsidR="00BC545F">
        <w:rPr>
          <w:noProof/>
        </w:rPr>
        <w:t>[1]</w:t>
      </w:r>
      <w:r>
        <w:fldChar w:fldCharType="end"/>
      </w:r>
      <w:r>
        <w:t xml:space="preserve">. </w:t>
      </w:r>
    </w:p>
    <w:p w14:paraId="4E786CC1" w14:textId="77777777" w:rsidR="000C612A" w:rsidRPr="003F749E" w:rsidRDefault="000C612A" w:rsidP="007C30A4">
      <w:pPr>
        <w:jc w:val="both"/>
      </w:pPr>
    </w:p>
    <w:p w14:paraId="11724C45" w14:textId="169DB86B" w:rsidR="007A19F8" w:rsidRDefault="007A19F8" w:rsidP="007C30A4">
      <w:pPr>
        <w:pStyle w:val="Heading1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CROWDSOURCING</w:t>
      </w:r>
    </w:p>
    <w:p w14:paraId="383743C7" w14:textId="45B15D9A" w:rsidR="003F749E" w:rsidRDefault="003F749E" w:rsidP="007C30A4">
      <w:pPr>
        <w:jc w:val="both"/>
      </w:pPr>
      <w:r>
        <w:t>What type of crowdsourcing is used?</w:t>
      </w:r>
    </w:p>
    <w:p w14:paraId="60A56F72" w14:textId="59CF8900" w:rsidR="003F749E" w:rsidRDefault="003F749E" w:rsidP="007C30A4">
      <w:pPr>
        <w:jc w:val="both"/>
      </w:pPr>
      <w:r>
        <w:t>Why type of model is employed for the annotation?</w:t>
      </w:r>
    </w:p>
    <w:p w14:paraId="048E0720" w14:textId="57B3FD5D" w:rsidR="002C5FE1" w:rsidRDefault="003F749E" w:rsidP="007C30A4">
      <w:pPr>
        <w:jc w:val="both"/>
      </w:pPr>
      <w:r>
        <w:t>How spammers</w:t>
      </w:r>
      <w:r w:rsidR="00F95523">
        <w:t xml:space="preserve"> are avoided or how to avoid mi</w:t>
      </w:r>
      <w:r>
        <w:t>sclassifications?</w:t>
      </w:r>
    </w:p>
    <w:p w14:paraId="440DB202" w14:textId="62AB9C17" w:rsidR="00225EB6" w:rsidRPr="003F749E" w:rsidRDefault="00225EB6" w:rsidP="007C30A4">
      <w:pPr>
        <w:jc w:val="both"/>
      </w:pPr>
      <w:r>
        <w:t>Challenges of the crowdsourcing methods?</w:t>
      </w:r>
    </w:p>
    <w:p w14:paraId="60A5D9D3" w14:textId="3BB8AFFF" w:rsidR="007A19F8" w:rsidRDefault="003F749E" w:rsidP="007C30A4">
      <w:pPr>
        <w:pStyle w:val="Heading1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METHODS</w:t>
      </w:r>
    </w:p>
    <w:p w14:paraId="4614FEF6" w14:textId="696CB483" w:rsidR="00DD2EC0" w:rsidRDefault="00595A57" w:rsidP="007C30A4">
      <w:pPr>
        <w:pStyle w:val="Heading2"/>
      </w:pPr>
      <w:r>
        <w:t xml:space="preserve">ARG </w:t>
      </w:r>
      <w:r w:rsidR="001C7D2C">
        <w:t>DATABASE</w:t>
      </w:r>
    </w:p>
    <w:p w14:paraId="2E85EC33" w14:textId="61E4EADF" w:rsidR="00DD2EC0" w:rsidRDefault="00F53B9D" w:rsidP="007C30A4">
      <w:pPr>
        <w:jc w:val="both"/>
      </w:pPr>
      <w:r>
        <w:t>Antibiotic</w:t>
      </w:r>
      <w:r w:rsidR="00DD2EC0">
        <w:t xml:space="preserve"> resistance genes were col</w:t>
      </w:r>
      <w:r w:rsidR="00125ADD">
        <w:t>lected from different resources. Fi</w:t>
      </w:r>
      <w:r w:rsidR="00AE5AEA">
        <w:t>r</w:t>
      </w:r>
      <w:r w:rsidR="00125ADD">
        <w:t xml:space="preserve">st, </w:t>
      </w:r>
      <w:r w:rsidR="00DD2EC0">
        <w:t xml:space="preserve">the Comprehensive Antibiotic Resistance Database (CARD) </w:t>
      </w:r>
      <w:r w:rsidR="00DD2EC0">
        <w:fldChar w:fldCharType="begin"/>
      </w:r>
      <w:r w:rsidR="00BC545F">
        <w:instrText xml:space="preserve"> ADDIN EN.CITE &lt;EndNote&gt;&lt;Cite&gt;&lt;Author&gt;McArthur&lt;/Author&gt;&lt;Year&gt;2013&lt;/Year&gt;&lt;RecNum&gt;3016&lt;/RecNum&gt;&lt;DisplayText&gt;[2]&lt;/DisplayText&gt;&lt;record&gt;&lt;rec-number&gt;3016&lt;/rec-number&gt;&lt;foreign-keys&gt;&lt;key app="EN" db-id="rftwtzxfep9aplep2af5e5s3d5efswezszxw" timestamp="1493067923"&gt;3016&lt;/key&gt;&lt;/foreign-keys&gt;&lt;ref-type name="Journal Article"&gt;17&lt;/ref-type&gt;&lt;contributors&gt;&lt;authors&gt;&lt;author&gt;McArthur, Andrew G&lt;/author&gt;&lt;author&gt;Waglechner, Nicholas&lt;/author&gt;&lt;author&gt;Nizam, Fazmin&lt;/author&gt;&lt;author&gt;Yan, Austin&lt;/author&gt;&lt;author&gt;Azad, Marisa A&lt;/author&gt;&lt;author&gt;Baylay, Alison J&lt;/author&gt;&lt;author&gt;Bhullar, Kirandeep&lt;/author&gt;&lt;author&gt;Canova, Marc J&lt;/author&gt;&lt;author&gt;De Pascale, Gianfranco&lt;/author&gt;&lt;author&gt;Ejim, Linda&lt;/author&gt;&lt;/authors&gt;&lt;/contributors&gt;&lt;titles&gt;&lt;title&gt;The comprehensive antibiotic resistance database&lt;/title&gt;&lt;secondary-title&gt;Antimicrobial agents and chemotherapy&lt;/secondary-title&gt;&lt;/titles&gt;&lt;periodical&gt;&lt;full-title&gt;Antimicrobial agents and chemotherapy&lt;/full-title&gt;&lt;/periodical&gt;&lt;pages&gt;3348-3357&lt;/pages&gt;&lt;volume&gt;57&lt;/volume&gt;&lt;number&gt;7&lt;/number&gt;&lt;dates&gt;&lt;year&gt;2013&lt;/year&gt;&lt;/dates&gt;&lt;isbn&gt;0066-4804&lt;/isbn&gt;&lt;urls&gt;&lt;/urls&gt;&lt;/record&gt;&lt;/Cite&gt;&lt;/EndNote&gt;</w:instrText>
      </w:r>
      <w:r w:rsidR="00DD2EC0">
        <w:fldChar w:fldCharType="separate"/>
      </w:r>
      <w:r w:rsidR="00BC545F">
        <w:rPr>
          <w:noProof/>
        </w:rPr>
        <w:t>[2]</w:t>
      </w:r>
      <w:r w:rsidR="00DD2EC0">
        <w:fldChar w:fldCharType="end"/>
      </w:r>
      <w:r w:rsidR="00595A57">
        <w:t xml:space="preserve"> which </w:t>
      </w:r>
      <w:r w:rsidR="00F961F6">
        <w:t xml:space="preserve">to date </w:t>
      </w:r>
      <w:r w:rsidR="00595A57">
        <w:t xml:space="preserve">is </w:t>
      </w:r>
      <w:r w:rsidR="00F961F6">
        <w:t xml:space="preserve">the most </w:t>
      </w:r>
      <w:r w:rsidR="00475E8D">
        <w:t>exhaustive</w:t>
      </w:r>
      <w:r>
        <w:t xml:space="preserve"> resource for antibiotic resistance gene </w:t>
      </w:r>
      <w:r w:rsidR="00595A57">
        <w:t>information</w:t>
      </w:r>
      <w:r>
        <w:t>. T</w:t>
      </w:r>
      <w:r w:rsidR="00DD2EC0">
        <w:t>he</w:t>
      </w:r>
      <w:r w:rsidR="00896374">
        <w:t xml:space="preserve"> ARDB </w:t>
      </w:r>
      <w:r w:rsidR="00896374">
        <w:fldChar w:fldCharType="begin"/>
      </w:r>
      <w:r w:rsidR="00BC545F">
        <w:instrText xml:space="preserve"> ADDIN EN.CITE &lt;EndNote&gt;&lt;Cite&gt;&lt;Author&gt;Liu&lt;/Author&gt;&lt;Year&gt;2008&lt;/Year&gt;&lt;RecNum&gt;3081&lt;/RecNum&gt;&lt;DisplayText&gt;[3]&lt;/DisplayText&gt;&lt;record&gt;&lt;rec-number&gt;3081&lt;/rec-number&gt;&lt;foreign-keys&gt;&lt;key app="EN" db-id="rftwtzxfep9aplep2af5e5s3d5efswezszxw" timestamp="1507837383"&gt;3081&lt;/key&gt;&lt;/foreign-keys&gt;&lt;ref-type name="Journal Article"&gt;17&lt;/ref-type&gt;&lt;contributors&gt;&lt;authors&gt;&lt;author&gt;Liu, Bo&lt;/author&gt;&lt;author&gt;Pop, Mihai&lt;/author&gt;&lt;/authors&gt;&lt;/contributors&gt;&lt;titles&gt;&lt;title&gt;ARDB—antibiotic resistance genes database&lt;/title&gt;&lt;secondary-title&gt;Nucleic acids research&lt;/secondary-title&gt;&lt;/titles&gt;&lt;periodical&gt;&lt;full-title&gt;Nucleic acids research&lt;/full-title&gt;&lt;/periodical&gt;&lt;pages&gt;D443-D447&lt;/pages&gt;&lt;volume&gt;37&lt;/volume&gt;&lt;number&gt;suppl_1&lt;/number&gt;&lt;dates&gt;&lt;year&gt;2008&lt;/year&gt;&lt;/dates&gt;&lt;isbn&gt;1362-4962&lt;/isbn&gt;&lt;urls&gt;&lt;/urls&gt;&lt;/record&gt;&lt;/Cite&gt;&lt;/EndNote&gt;</w:instrText>
      </w:r>
      <w:r w:rsidR="00896374">
        <w:fldChar w:fldCharType="separate"/>
      </w:r>
      <w:r w:rsidR="00BC545F">
        <w:rPr>
          <w:noProof/>
        </w:rPr>
        <w:t>[3]</w:t>
      </w:r>
      <w:r w:rsidR="00896374">
        <w:fldChar w:fldCharType="end"/>
      </w:r>
      <w:r w:rsidR="00896374">
        <w:t xml:space="preserve"> database</w:t>
      </w:r>
      <w:r w:rsidR="00475E8D">
        <w:t xml:space="preserve"> that comprises a</w:t>
      </w:r>
      <w:r w:rsidR="00595A57">
        <w:t xml:space="preserve"> vast number of homology </w:t>
      </w:r>
      <w:r w:rsidR="000E7B5C">
        <w:t>predicted</w:t>
      </w:r>
      <w:r w:rsidR="00595A57">
        <w:t xml:space="preserve"> AR</w:t>
      </w:r>
      <w:r w:rsidR="000E7B5C">
        <w:t>Gs</w:t>
      </w:r>
      <w:r w:rsidR="00595A57">
        <w:t>. T</w:t>
      </w:r>
      <w:r w:rsidR="00F961F6">
        <w:t>he Deep learning Antibiotic Resistance database (DeepARG</w:t>
      </w:r>
      <w:r w:rsidR="000E7B5C">
        <w:t>-DB</w:t>
      </w:r>
      <w:r w:rsidR="00F961F6">
        <w:t xml:space="preserve">) </w:t>
      </w:r>
      <w:r w:rsidR="00F961F6">
        <w:fldChar w:fldCharType="begin"/>
      </w:r>
      <w:r w:rsidR="00BC545F">
        <w:instrText xml:space="preserve"> ADDIN EN.CITE &lt;EndNote&gt;&lt;Cite&gt;&lt;Author&gt;Arango-Argoty&lt;/Author&gt;&lt;Year&gt;2017&lt;/Year&gt;&lt;RecNum&gt;3077&lt;/RecNum&gt;&lt;DisplayText&gt;[4]&lt;/DisplayText&gt;&lt;record&gt;&lt;rec-number&gt;3077&lt;/rec-number&gt;&lt;foreign-keys&gt;&lt;key app="EN" db-id="rftwtzxfep9aplep2af5e5s3d5efswezszxw" timestamp="1498501986"&gt;3077&lt;/key&gt;&lt;/foreign-keys&gt;&lt;ref-type name="Journal Article"&gt;17&lt;/ref-type&gt;&lt;contributors&gt;&lt;authors&gt;&lt;author&gt;Arango-Argoty, Gustavo A&lt;/author&gt;&lt;author&gt;Garner, Emily&lt;/author&gt;&lt;author&gt;Pruden, Amy&lt;/author&gt;&lt;author&gt;Heath, Lenwood S&lt;/author&gt;&lt;author&gt;Vikesland, Peter&lt;/author&gt;&lt;author&gt;Zhang, Liqing&lt;/author&gt;&lt;/authors&gt;&lt;/contributors&gt;&lt;titles&gt;&lt;title&gt;DeepARG: A deep learning approach for predicting antibiotic resistance genes from metagenomic data&lt;/title&gt;&lt;secondary-title&gt;bioRxiv&lt;/secondary-title&gt;&lt;/titles&gt;&lt;periodical&gt;&lt;full-title&gt;bioRxiv&lt;/full-title&gt;&lt;/periodical&gt;&lt;pages&gt;149328&lt;/pages&gt;&lt;dates&gt;&lt;year&gt;2017&lt;/year&gt;&lt;/dates&gt;&lt;urls&gt;&lt;/urls&gt;&lt;/record&gt;&lt;/Cite&gt;&lt;/EndNote&gt;</w:instrText>
      </w:r>
      <w:r w:rsidR="00F961F6">
        <w:fldChar w:fldCharType="separate"/>
      </w:r>
      <w:r w:rsidR="00BC545F">
        <w:rPr>
          <w:noProof/>
        </w:rPr>
        <w:t>[4]</w:t>
      </w:r>
      <w:r w:rsidR="00F961F6">
        <w:fldChar w:fldCharType="end"/>
      </w:r>
      <w:r w:rsidR="00595A57">
        <w:t xml:space="preserve"> which incorporates</w:t>
      </w:r>
      <w:r w:rsidR="00AE5AEA">
        <w:t xml:space="preserve"> antibiotic resistance genes from the UniProt </w:t>
      </w:r>
      <w:r w:rsidR="00AE5AEA">
        <w:fldChar w:fldCharType="begin"/>
      </w:r>
      <w:r w:rsidR="00BC545F">
        <w:instrText xml:space="preserve"> ADDIN EN.CITE &lt;EndNote&gt;&lt;Cite&gt;&lt;Author&gt;Consortium&lt;/Author&gt;&lt;Year&gt;2014&lt;/Year&gt;&lt;RecNum&gt;3084&lt;/RecNum&gt;&lt;DisplayText&gt;[5]&lt;/DisplayText&gt;&lt;record&gt;&lt;rec-number&gt;3084&lt;/rec-number&gt;&lt;foreign-keys&gt;&lt;key app="EN" db-id="rftwtzxfep9aplep2af5e5s3d5efswezszxw" timestamp="1507838395"&gt;3084&lt;/key&gt;&lt;/foreign-keys&gt;&lt;ref-type name="Journal Article"&gt;17&lt;/ref-type&gt;&lt;contributors&gt;&lt;authors&gt;&lt;author&gt;UniProt Consortium&lt;/author&gt;&lt;/authors&gt;&lt;/contributors&gt;&lt;titles&gt;&lt;title&gt;UniProt: a hub for protein information&lt;/title&gt;&lt;secondary-title&gt;Nucleic acids research&lt;/secondary-title&gt;&lt;/titles&gt;&lt;periodical&gt;&lt;full-title&gt;Nucleic acids research&lt;/full-title&gt;&lt;/periodical&gt;&lt;pages&gt;gku989&lt;/pages&gt;&lt;dates&gt;&lt;year&gt;2014&lt;/year&gt;&lt;/dates&gt;&lt;isbn&gt;0305-1048&lt;/isbn&gt;&lt;urls&gt;&lt;/urls&gt;&lt;/record&gt;&lt;/Cite&gt;&lt;/EndNote&gt;</w:instrText>
      </w:r>
      <w:r w:rsidR="00AE5AEA">
        <w:fldChar w:fldCharType="separate"/>
      </w:r>
      <w:r w:rsidR="00BC545F">
        <w:rPr>
          <w:noProof/>
        </w:rPr>
        <w:t>[5]</w:t>
      </w:r>
      <w:r w:rsidR="00AE5AEA">
        <w:fldChar w:fldCharType="end"/>
      </w:r>
      <w:r w:rsidR="00AE5AEA">
        <w:t xml:space="preserve"> database</w:t>
      </w:r>
      <w:r w:rsidR="00125ADD">
        <w:t xml:space="preserve"> </w:t>
      </w:r>
      <w:r w:rsidR="00AE5AEA">
        <w:t>with</w:t>
      </w:r>
      <w:r w:rsidR="00125ADD">
        <w:t xml:space="preserve"> </w:t>
      </w:r>
      <w:r w:rsidR="00AE5AEA">
        <w:t xml:space="preserve">the </w:t>
      </w:r>
      <w:r w:rsidR="00125ADD">
        <w:t>CARD and ARDB databases</w:t>
      </w:r>
      <w:r w:rsidR="000E7B5C">
        <w:t>.</w:t>
      </w:r>
      <w:r w:rsidR="00125ADD">
        <w:t xml:space="preserve"> Lastly,</w:t>
      </w:r>
      <w:r w:rsidR="000E7B5C">
        <w:t xml:space="preserve"> the </w:t>
      </w:r>
      <w:r w:rsidR="00F961F6">
        <w:t xml:space="preserve">MEGARes </w:t>
      </w:r>
      <w:r w:rsidR="00F961F6">
        <w:fldChar w:fldCharType="begin"/>
      </w:r>
      <w:r w:rsidR="00BC545F">
        <w:instrText xml:space="preserve"> ADDIN EN.CITE &lt;EndNote&gt;&lt;Cite&gt;&lt;Author&gt;Lakin&lt;/Author&gt;&lt;Year&gt;2017&lt;/Year&gt;&lt;RecNum&gt;3083&lt;/RecNum&gt;&lt;DisplayText&gt;[6]&lt;/DisplayText&gt;&lt;record&gt;&lt;rec-number&gt;3083&lt;/rec-number&gt;&lt;foreign-keys&gt;&lt;key app="EN" db-id="rftwtzxfep9aplep2af5e5s3d5efswezszxw" timestamp="1507837495"&gt;3083&lt;/key&gt;&lt;/foreign-keys&gt;&lt;ref-type name="Journal Article"&gt;17&lt;/ref-type&gt;&lt;contributors&gt;&lt;authors&gt;&lt;author&gt;Lakin, Steven M&lt;/author&gt;&lt;author&gt;Dean, Chris&lt;/author&gt;&lt;author&gt;Noyes, Noelle R&lt;/author&gt;&lt;author&gt;Dettenwanger, Adam&lt;/author&gt;&lt;author&gt;Ross, Anne Spencer&lt;/author&gt;&lt;author&gt;Doster, Enrique&lt;/author&gt;&lt;author&gt;Rovira, Pablo&lt;/author&gt;&lt;author&gt;Abdo, Zaid&lt;/author&gt;&lt;author&gt;Jones, Kenneth L&lt;/author&gt;&lt;author&gt;Ruiz, Jaime&lt;/author&gt;&lt;/authors&gt;&lt;/contributors&gt;&lt;titles&gt;&lt;title&gt;MEGARes: an antimicrobial resistance database for high throughput sequencing&lt;/title&gt;&lt;secondary-title&gt;Nucleic acids research&lt;/secondary-title&gt;&lt;/titles&gt;&lt;periodical&gt;&lt;full-title&gt;Nucleic acids research&lt;/full-title&gt;&lt;/periodical&gt;&lt;pages&gt;D574-D580&lt;/pages&gt;&lt;volume&gt;45&lt;/volume&gt;&lt;number&gt;D1&lt;/number&gt;&lt;dates&gt;&lt;year&gt;2017&lt;/year&gt;&lt;/dates&gt;&lt;isbn&gt;0305-1048&lt;/isbn&gt;&lt;urls&gt;&lt;/urls&gt;&lt;/record&gt;&lt;/Cite&gt;&lt;/EndNote&gt;</w:instrText>
      </w:r>
      <w:r w:rsidR="00F961F6">
        <w:fldChar w:fldCharType="separate"/>
      </w:r>
      <w:r w:rsidR="00BC545F">
        <w:rPr>
          <w:noProof/>
        </w:rPr>
        <w:t>[6]</w:t>
      </w:r>
      <w:r w:rsidR="00F961F6">
        <w:fldChar w:fldCharType="end"/>
      </w:r>
      <w:r w:rsidR="00F961F6">
        <w:t xml:space="preserve"> database</w:t>
      </w:r>
      <w:r w:rsidR="00595A57">
        <w:t xml:space="preserve"> that simplifies the </w:t>
      </w:r>
      <w:r w:rsidR="001E41E0">
        <w:t xml:space="preserve">nested </w:t>
      </w:r>
      <w:r w:rsidR="00595A57">
        <w:t xml:space="preserve">structure </w:t>
      </w:r>
      <w:r w:rsidR="001E41E0">
        <w:t>of the</w:t>
      </w:r>
      <w:r w:rsidR="00595A57">
        <w:t xml:space="preserve"> </w:t>
      </w:r>
      <w:r w:rsidR="00595A57">
        <w:lastRenderedPageBreak/>
        <w:t xml:space="preserve">CARD </w:t>
      </w:r>
      <w:r w:rsidR="000761C9">
        <w:t>database. MEGARes</w:t>
      </w:r>
      <w:r w:rsidR="000E7B5C">
        <w:t xml:space="preserve"> incorporates genes from the ARG-ANNOT </w:t>
      </w:r>
      <w:r w:rsidR="000E7B5C">
        <w:fldChar w:fldCharType="begin"/>
      </w:r>
      <w:r w:rsidR="00BC545F">
        <w:instrText xml:space="preserve"> ADDIN EN.CITE &lt;EndNote&gt;&lt;Cite&gt;&lt;Author&gt;Gupta&lt;/Author&gt;&lt;Year&gt;2014&lt;/Year&gt;&lt;RecNum&gt;308&lt;/RecNum&gt;&lt;DisplayText&gt;[7]&lt;/DisplayText&gt;&lt;record&gt;&lt;rec-number&gt;308&lt;/rec-number&gt;&lt;foreign-keys&gt;&lt;key app="EN" db-id="rftwtzxfep9aplep2af5e5s3d5efswezszxw" timestamp="0"&gt;308&lt;/key&gt;&lt;/foreign-keys&gt;&lt;ref-type name="Journal Article"&gt;17&lt;/ref-type&gt;&lt;contributors&gt;&lt;authors&gt;&lt;author&gt;Gupta, S. K.&lt;/author&gt;&lt;author&gt;Padmanabhan, B. R.&lt;/author&gt;&lt;author&gt;Diene, S. M.&lt;/author&gt;&lt;author&gt;Lopez-Rojas, R.&lt;/author&gt;&lt;author&gt;Kempf, M.&lt;/author&gt;&lt;author&gt;Landraud, L.&lt;/author&gt;&lt;author&gt;Rolain, J. M.&lt;/author&gt;&lt;/authors&gt;&lt;/contributors&gt;&lt;auth-address&gt;Unite de Recherche sur les Maladies Infectieuses et Tropicales Emergentes, UMR CNRS 7278-IRD 198 IHU, Mediterranee Infection, Faculte de Medecine et de Pharmacie, Aix-Marseille Universite, Marseille, France.&lt;/auth-address&gt;&lt;titles&gt;&lt;title&gt;ARG-ANNOT, a new bioinformatic tool to discover antibiotic resistance genes in bacterial genomes&lt;/title&gt;&lt;secondary-title&gt;Antimicrob Agents Chemother&lt;/secondary-title&gt;&lt;/titles&gt;&lt;pages&gt;212-20&lt;/pages&gt;&lt;volume&gt;58&lt;/volume&gt;&lt;number&gt;1&lt;/number&gt;&lt;keywords&gt;&lt;keyword&gt;Computational Biology/*methods&lt;/keyword&gt;&lt;keyword&gt;Databases, Genetic&lt;/keyword&gt;&lt;keyword&gt;Drug Resistance, Microbial/genetics&lt;/keyword&gt;&lt;keyword&gt;Genome, Bacterial/*genetics&lt;/keyword&gt;&lt;keyword&gt;*Software&lt;/keyword&gt;&lt;/keywords&gt;&lt;dates&gt;&lt;year&gt;2014&lt;/year&gt;&lt;/dates&gt;&lt;isbn&gt;1098-6596 (Electronic)&amp;#xD;0066-4804 (Linking)&lt;/isbn&gt;&lt;accession-num&gt;24145532&lt;/accession-num&gt;&lt;urls&gt;&lt;related-urls&gt;&lt;url&gt;https://www.ncbi.nlm.nih.gov/pubmed/24145532&lt;/url&gt;&lt;/related-urls&gt;&lt;/urls&gt;&lt;custom2&gt;PMC3910750&lt;/custom2&gt;&lt;electronic-resource-num&gt;10.1128/AAC.01310-13&lt;/electronic-resource-num&gt;&lt;/record&gt;&lt;/Cite&gt;&lt;/EndNote&gt;</w:instrText>
      </w:r>
      <w:r w:rsidR="000E7B5C">
        <w:fldChar w:fldCharType="separate"/>
      </w:r>
      <w:r w:rsidR="00BC545F">
        <w:rPr>
          <w:noProof/>
        </w:rPr>
        <w:t>[7]</w:t>
      </w:r>
      <w:r w:rsidR="000E7B5C">
        <w:fldChar w:fldCharType="end"/>
      </w:r>
      <w:r w:rsidR="000E7B5C">
        <w:t xml:space="preserve">, RESFINDER </w:t>
      </w:r>
      <w:r w:rsidR="000E7B5C">
        <w:fldChar w:fldCharType="begin"/>
      </w:r>
      <w:r w:rsidR="00BC545F">
        <w:instrText xml:space="preserve"> ADDIN EN.CITE &lt;EndNote&gt;&lt;Cite&gt;&lt;Author&gt;Zankari&lt;/Author&gt;&lt;Year&gt;2012&lt;/Year&gt;&lt;RecNum&gt;311&lt;/RecNum&gt;&lt;DisplayText&gt;[8]&lt;/DisplayText&gt;&lt;record&gt;&lt;rec-number&gt;311&lt;/rec-number&gt;&lt;foreign-keys&gt;&lt;key app="EN" db-id="rftwtzxfep9aplep2af5e5s3d5efswezszxw" timestamp="0"&gt;311&lt;/key&gt;&lt;/foreign-keys&gt;&lt;ref-type name="Journal Article"&gt;17&lt;/ref-type&gt;&lt;contributors&gt;&lt;authors&gt;&lt;author&gt;Zankari, E.&lt;/author&gt;&lt;author&gt;Hasman, H.&lt;/author&gt;&lt;author&gt;Cosentino, S.&lt;/author&gt;&lt;author&gt;Vestergaard, M.&lt;/author&gt;&lt;author&gt;Rasmussen, S.&lt;/author&gt;&lt;author&gt;Lund, O.&lt;/author&gt;&lt;author&gt;Aarestrup, F. M.&lt;/author&gt;&lt;author&gt;Larsen, M. V.&lt;/author&gt;&lt;/authors&gt;&lt;/contributors&gt;&lt;auth-address&gt;National Food Institute, Technical University of Denmark, 2800 Kgs. Lyngby, Denmark. east@food.dtu.dk&lt;/auth-address&gt;&lt;titles&gt;&lt;title&gt;Identification of acquired antimicrobial resistance genes&lt;/title&gt;&lt;secondary-title&gt;J Antimicrob Chemother&lt;/secondary-title&gt;&lt;/titles&gt;&lt;pages&gt;2640-4&lt;/pages&gt;&lt;volume&gt;67&lt;/volume&gt;&lt;number&gt;11&lt;/number&gt;&lt;keywords&gt;&lt;keyword&gt;Bacteria/drug effects/*genetics&lt;/keyword&gt;&lt;keyword&gt;Bacterial Infections/microbiology&lt;/keyword&gt;&lt;keyword&gt;Computational Biology/*methods&lt;/keyword&gt;&lt;keyword&gt;*Drug Resistance, Bacterial&lt;/keyword&gt;&lt;keyword&gt;Humans&lt;/keyword&gt;&lt;keyword&gt;Internet&lt;/keyword&gt;&lt;/keywords&gt;&lt;dates&gt;&lt;year&gt;2012&lt;/year&gt;&lt;pub-dates&gt;&lt;date&gt;Nov&lt;/date&gt;&lt;/pub-dates&gt;&lt;/dates&gt;&lt;isbn&gt;1460-2091 (Electronic)&amp;#xD;0305-7453 (Linking)&lt;/isbn&gt;&lt;accession-num&gt;22782487&lt;/accession-num&gt;&lt;urls&gt;&lt;related-urls&gt;&lt;url&gt;https://www.ncbi.nlm.nih.gov/pubmed/22782487&lt;/url&gt;&lt;/related-urls&gt;&lt;/urls&gt;&lt;custom2&gt;PMC3468078&lt;/custom2&gt;&lt;electronic-resource-num&gt;10.1093/jac/dks261&lt;/electronic-resource-num&gt;&lt;/record&gt;&lt;/Cite&gt;&lt;/EndNote&gt;</w:instrText>
      </w:r>
      <w:r w:rsidR="000E7B5C">
        <w:fldChar w:fldCharType="separate"/>
      </w:r>
      <w:r w:rsidR="00BC545F">
        <w:rPr>
          <w:noProof/>
        </w:rPr>
        <w:t>[8]</w:t>
      </w:r>
      <w:r w:rsidR="000E7B5C">
        <w:fldChar w:fldCharType="end"/>
      </w:r>
      <w:r w:rsidR="000E7B5C">
        <w:t xml:space="preserve"> and the Lahey Clinic beta-lactamase archive</w:t>
      </w:r>
      <w:r w:rsidR="002E2F41">
        <w:t xml:space="preserve"> </w:t>
      </w:r>
      <w:r w:rsidR="002E2F41">
        <w:fldChar w:fldCharType="begin"/>
      </w:r>
      <w:r w:rsidR="00BC545F">
        <w:instrText xml:space="preserve"> ADDIN EN.CITE &lt;EndNote&gt;&lt;Cite&gt;&lt;Author&gt;Bush&lt;/Author&gt;&lt;Year&gt;2010&lt;/Year&gt;&lt;RecNum&gt;3086&lt;/RecNum&gt;&lt;DisplayText&gt;[9]&lt;/DisplayText&gt;&lt;record&gt;&lt;rec-number&gt;3086&lt;/rec-number&gt;&lt;foreign-keys&gt;&lt;key app="EN" db-id="rftwtzxfep9aplep2af5e5s3d5efswezszxw" timestamp="1507839776"&gt;3086&lt;/key&gt;&lt;/foreign-keys&gt;&lt;ref-type name="Journal Article"&gt;17&lt;/ref-type&gt;&lt;contributors&gt;&lt;authors&gt;&lt;author&gt;Bush, Karen&lt;/author&gt;&lt;author&gt;Jacoby, George A&lt;/author&gt;&lt;/authors&gt;&lt;/contributors&gt;&lt;titles&gt;&lt;title&gt;Updated functional classification of β-lactamases&lt;/title&gt;&lt;secondary-title&gt;Antimicrobial agents and chemotherapy&lt;/secondary-title&gt;&lt;/titles&gt;&lt;periodical&gt;&lt;full-title&gt;Antimicrobial agents and chemotherapy&lt;/full-title&gt;&lt;/periodical&gt;&lt;pages&gt;969-976&lt;/pages&gt;&lt;volume&gt;54&lt;/volume&gt;&lt;number&gt;3&lt;/number&gt;&lt;dates&gt;&lt;year&gt;2010&lt;/year&gt;&lt;/dates&gt;&lt;isbn&gt;0066-4804&lt;/isbn&gt;&lt;urls&gt;&lt;/urls&gt;&lt;/record&gt;&lt;/Cite&gt;&lt;/EndNote&gt;</w:instrText>
      </w:r>
      <w:r w:rsidR="002E2F41">
        <w:fldChar w:fldCharType="separate"/>
      </w:r>
      <w:r w:rsidR="00BC545F">
        <w:rPr>
          <w:noProof/>
        </w:rPr>
        <w:t>[9]</w:t>
      </w:r>
      <w:r w:rsidR="002E2F41">
        <w:fldChar w:fldCharType="end"/>
      </w:r>
      <w:r w:rsidR="000E7B5C">
        <w:t xml:space="preserve"> from the National Center for Biot</w:t>
      </w:r>
      <w:bookmarkStart w:id="0" w:name="_GoBack"/>
      <w:bookmarkEnd w:id="0"/>
      <w:r w:rsidR="000E7B5C">
        <w:t>echnology Information (NCBI)</w:t>
      </w:r>
      <w:r w:rsidR="00AF4E66">
        <w:t xml:space="preserve">. MEGARes also </w:t>
      </w:r>
      <w:r w:rsidR="007C30A4">
        <w:t xml:space="preserve">integrates the </w:t>
      </w:r>
      <w:r w:rsidR="00595A57">
        <w:t>antibiotic resistance mechanism</w:t>
      </w:r>
      <w:r w:rsidR="002E2F41">
        <w:t>s</w:t>
      </w:r>
      <w:r w:rsidR="00595A57">
        <w:t>.</w:t>
      </w:r>
    </w:p>
    <w:p w14:paraId="32BFD3F9" w14:textId="77777777" w:rsidR="00C95F4B" w:rsidRDefault="00C95F4B" w:rsidP="007C30A4">
      <w:pPr>
        <w:jc w:val="both"/>
      </w:pPr>
    </w:p>
    <w:p w14:paraId="02A81585" w14:textId="6CFD00FD" w:rsidR="00C95F4B" w:rsidRDefault="00AF4E66" w:rsidP="007C30A4">
      <w:pPr>
        <w:jc w:val="both"/>
      </w:pPr>
      <w:r>
        <w:t>To obtain a clean collection of ARGs, t</w:t>
      </w:r>
      <w:r w:rsidR="00C95F4B">
        <w:t>he deepARG database was updated with the latest version of the CARD and UniProt databases</w:t>
      </w:r>
      <w:r w:rsidR="000E090F">
        <w:t xml:space="preserve"> using their sequence identifiers</w:t>
      </w:r>
      <w:r w:rsidR="00C95F4B">
        <w:t>. Several genes were</w:t>
      </w:r>
      <w:r w:rsidR="000E090F">
        <w:t xml:space="preserve"> then</w:t>
      </w:r>
      <w:r w:rsidR="00C95F4B">
        <w:t xml:space="preserve"> integrated or removed from the deepARG database depending on their evidence. For instance, deprecated UniProt sequences were removed from deepARG</w:t>
      </w:r>
      <w:r>
        <w:t>-DB</w:t>
      </w:r>
      <w:r w:rsidR="00C95F4B">
        <w:t xml:space="preserve">, whereas, the newly </w:t>
      </w:r>
      <w:r w:rsidR="00BE3BB3">
        <w:t>ARGs from CARD were int</w:t>
      </w:r>
      <w:r w:rsidR="00114EF8">
        <w:t>egrated</w:t>
      </w:r>
      <w:r w:rsidR="00C95F4B">
        <w:t xml:space="preserve">. </w:t>
      </w:r>
      <w:r w:rsidR="00114EF8">
        <w:t>Also,</w:t>
      </w:r>
      <w:r w:rsidR="00C95F4B">
        <w:t xml:space="preserve"> genes that where erroneously included in CARD</w:t>
      </w:r>
      <w:r w:rsidR="00BE3BB3">
        <w:t xml:space="preserve"> that confer resistance due mutations</w:t>
      </w:r>
      <w:r w:rsidR="00114EF8">
        <w:t xml:space="preserve"> were removed</w:t>
      </w:r>
      <w:r w:rsidR="00C95F4B">
        <w:t xml:space="preserve">. </w:t>
      </w:r>
      <w:r w:rsidR="00BE3BB3">
        <w:t>T</w:t>
      </w:r>
      <w:r w:rsidR="00C95F4B">
        <w:t>he</w:t>
      </w:r>
      <w:r w:rsidR="000E090F">
        <w:t xml:space="preserve"> resulting</w:t>
      </w:r>
      <w:r w:rsidR="00C95F4B">
        <w:t xml:space="preserve"> collection of ARGs </w:t>
      </w:r>
      <w:r w:rsidR="00BE3BB3">
        <w:t>was then</w:t>
      </w:r>
      <w:r w:rsidR="00C95F4B">
        <w:t xml:space="preserve"> aligned</w:t>
      </w:r>
      <w:r w:rsidR="00BE3BB3">
        <w:t xml:space="preserve"> to the CARD, ARDB </w:t>
      </w:r>
      <w:r w:rsidR="00C95F4B">
        <w:t>and MEGARes databases</w:t>
      </w:r>
      <w:r w:rsidR="000E090F">
        <w:t xml:space="preserve"> using DIAMOND and TBLASTN</w:t>
      </w:r>
      <w:r w:rsidR="00C95F4B">
        <w:t xml:space="preserve"> </w:t>
      </w:r>
      <w:r w:rsidR="00BE3BB3">
        <w:t>to subtract</w:t>
      </w:r>
      <w:r w:rsidR="00C95F4B">
        <w:t xml:space="preserve"> the</w:t>
      </w:r>
      <w:r w:rsidR="000E090F">
        <w:t xml:space="preserve"> best hit of each ARG</w:t>
      </w:r>
      <w:r w:rsidR="00C95F4B">
        <w:t xml:space="preserve"> </w:t>
      </w:r>
      <w:r w:rsidR="000E090F">
        <w:t>along with its metadata</w:t>
      </w:r>
      <w:r w:rsidR="00BE3BB3">
        <w:t>.</w:t>
      </w:r>
      <w:r w:rsidR="000E090F">
        <w:t xml:space="preserve"> Therefore, each ARG is represented by its best hits through the databases that allows annotation consistency through the ARG resources. </w:t>
      </w:r>
      <w:r w:rsidR="00BE3BB3">
        <w:t xml:space="preserve"> </w:t>
      </w:r>
      <w:r w:rsidR="000E090F">
        <w:t xml:space="preserve">Because the deepARG-DB </w:t>
      </w:r>
      <w:r w:rsidR="00BE3BB3">
        <w:t xml:space="preserve">contains information about </w:t>
      </w:r>
      <w:r w:rsidR="000E090F">
        <w:t>the origin of the ARGs</w:t>
      </w:r>
      <w:r w:rsidR="00BE3BB3">
        <w:t>, the</w:t>
      </w:r>
      <w:r w:rsidR="000E090F">
        <w:t xml:space="preserve"> metadata from the UniProt database is accessed via the UniProt</w:t>
      </w:r>
      <w:r w:rsidR="00BE3BB3">
        <w:t xml:space="preserve"> API</w:t>
      </w:r>
      <w:r w:rsidR="000E090F">
        <w:t xml:space="preserve"> (Application Programming Interface)</w:t>
      </w:r>
      <w:r w:rsidR="00BE3BB3">
        <w:t xml:space="preserve"> </w:t>
      </w:r>
      <w:r w:rsidR="000E090F">
        <w:t xml:space="preserve">that allows the retrieval of </w:t>
      </w:r>
      <w:r w:rsidR="00BE3BB3">
        <w:t>updated information</w:t>
      </w:r>
      <w:r w:rsidR="000E090F">
        <w:t xml:space="preserve"> for</w:t>
      </w:r>
      <w:r w:rsidR="00BE3BB3">
        <w:t xml:space="preserve"> each gene. The goal of this process is to link the ARGs sequences to their most up to date metadata.</w:t>
      </w:r>
      <w:r w:rsidR="000E090F">
        <w:t xml:space="preserve"> Therefore, each ARG is </w:t>
      </w:r>
      <w:r w:rsidR="0035313C">
        <w:t>depicted in the user interface as a</w:t>
      </w:r>
      <w:r w:rsidR="000E090F">
        <w:t xml:space="preserve"> set of panels </w:t>
      </w:r>
      <w:r w:rsidR="0035313C">
        <w:t>containing</w:t>
      </w:r>
      <w:r w:rsidR="00DC4BDC">
        <w:t xml:space="preserve"> the ARG’s best hit</w:t>
      </w:r>
      <w:r w:rsidR="0035313C">
        <w:t>s</w:t>
      </w:r>
      <w:r w:rsidR="00DC4BDC">
        <w:t>, their</w:t>
      </w:r>
      <w:r w:rsidR="000E090F">
        <w:t xml:space="preserve"> metadata and the alignment quality (see </w:t>
      </w:r>
      <w:r w:rsidR="000E090F" w:rsidRPr="00BE3BB3">
        <w:rPr>
          <w:b/>
        </w:rPr>
        <w:t>Figure X.1</w:t>
      </w:r>
      <w:r w:rsidR="000E090F">
        <w:t>). Scores are ranked in a color</w:t>
      </w:r>
      <w:r w:rsidR="00DC4BDC">
        <w:t xml:space="preserve"> scale</w:t>
      </w:r>
      <w:r w:rsidR="000E090F">
        <w:t xml:space="preserve"> to </w:t>
      </w:r>
      <w:r w:rsidR="00DC4BDC">
        <w:t>enhance</w:t>
      </w:r>
      <w:r w:rsidR="0035313C">
        <w:t xml:space="preserve"> readability and human</w:t>
      </w:r>
      <w:r w:rsidR="00DC4BDC">
        <w:t xml:space="preserve"> interpretation.</w:t>
      </w:r>
      <w:r w:rsidR="000E090F">
        <w:t xml:space="preserve"> </w:t>
      </w:r>
      <w:r w:rsidR="00BE3BB3">
        <w:t xml:space="preserve"> </w:t>
      </w:r>
    </w:p>
    <w:p w14:paraId="7101D306" w14:textId="77777777" w:rsidR="00181B01" w:rsidRDefault="00181B01" w:rsidP="00286F44">
      <w:pPr>
        <w:pStyle w:val="Heading2"/>
        <w:rPr>
          <w:rFonts w:asciiTheme="minorHAnsi" w:eastAsiaTheme="minorHAnsi" w:hAnsiTheme="minorHAnsi" w:cstheme="minorBidi"/>
          <w:color w:val="auto"/>
          <w:szCs w:val="24"/>
        </w:rPr>
      </w:pPr>
    </w:p>
    <w:p w14:paraId="4951745F" w14:textId="2CF757D9" w:rsidR="00900DCD" w:rsidRDefault="00900DCD" w:rsidP="00286F44">
      <w:pPr>
        <w:pStyle w:val="Heading2"/>
      </w:pPr>
      <w:r>
        <w:t xml:space="preserve">MOBILE GENETIC </w:t>
      </w:r>
      <w:r w:rsidRPr="00286F44">
        <w:t>ELEMENTS</w:t>
      </w:r>
    </w:p>
    <w:p w14:paraId="568679D3" w14:textId="12D2AEAB" w:rsidR="00CB4205" w:rsidRDefault="008B68B4" w:rsidP="007C30A4">
      <w:pPr>
        <w:jc w:val="both"/>
      </w:pPr>
      <w:r>
        <w:t xml:space="preserve">The ACLAME (Classification of Mobile Genetic Elements) database </w:t>
      </w:r>
      <w:r>
        <w:fldChar w:fldCharType="begin"/>
      </w:r>
      <w:r w:rsidR="00BC545F">
        <w:instrText xml:space="preserve"> ADDIN EN.CITE &lt;EndNote&gt;&lt;Cite&gt;&lt;Author&gt;Leplae&lt;/Author&gt;&lt;Year&gt;2004&lt;/Year&gt;&lt;RecNum&gt;3088&lt;/RecNum&gt;&lt;DisplayText&gt;[10]&lt;/DisplayText&gt;&lt;record&gt;&lt;rec-number&gt;3088&lt;/rec-number&gt;&lt;foreign-keys&gt;&lt;key app="EN" db-id="rftwtzxfep9aplep2af5e5s3d5efswezszxw" timestamp="1507842946"&gt;3088&lt;/key&gt;&lt;/foreign-keys&gt;&lt;ref-type name="Journal Article"&gt;17&lt;/ref-type&gt;&lt;contributors&gt;&lt;authors&gt;&lt;author&gt;Leplae, Raphaël&lt;/author&gt;&lt;author&gt;Hebrant, Aline&lt;/author&gt;&lt;author&gt;Wodak, Shoshana J&lt;/author&gt;&lt;author&gt;Toussaint, Ariane&lt;/author&gt;&lt;/authors&gt;&lt;/contributors&gt;&lt;titles&gt;&lt;title&gt;ACLAME: a CLAssification of Mobile genetic Elements&lt;/title&gt;&lt;secondary-title&gt;Nucleic acids research&lt;/secondary-title&gt;&lt;/titles&gt;&lt;periodical&gt;&lt;full-title&gt;Nucleic acids research&lt;/full-title&gt;&lt;/periodical&gt;&lt;pages&gt;D45-D49&lt;/pages&gt;&lt;volume&gt;32&lt;/volume&gt;&lt;number&gt;suppl_1&lt;/number&gt;&lt;dates&gt;&lt;year&gt;2004&lt;/year&gt;&lt;/dates&gt;&lt;isbn&gt;0305-1048&lt;/isbn&gt;&lt;urls&gt;&lt;/urls&gt;&lt;/record&gt;&lt;/Cite&gt;&lt;/EndNote&gt;</w:instrText>
      </w:r>
      <w:r>
        <w:fldChar w:fldCharType="separate"/>
      </w:r>
      <w:r w:rsidR="00BC545F">
        <w:rPr>
          <w:noProof/>
        </w:rPr>
        <w:t>[10]</w:t>
      </w:r>
      <w:r>
        <w:fldChar w:fldCharType="end"/>
      </w:r>
      <w:r>
        <w:t xml:space="preserve"> was used t</w:t>
      </w:r>
      <w:r w:rsidR="00CB4205">
        <w:t>o identify</w:t>
      </w:r>
      <w:r>
        <w:t xml:space="preserve"> the </w:t>
      </w:r>
      <w:r w:rsidR="00CB4205">
        <w:t xml:space="preserve">ARGs </w:t>
      </w:r>
      <w:r w:rsidR="00181B01">
        <w:t>that have</w:t>
      </w:r>
      <w:r w:rsidR="000C612A">
        <w:t xml:space="preserve"> the</w:t>
      </w:r>
      <w:r w:rsidR="00181B01">
        <w:t xml:space="preserve"> potential of being</w:t>
      </w:r>
      <w:r>
        <w:t xml:space="preserve"> mobilized by MGEs.</w:t>
      </w:r>
      <w:r w:rsidR="00181B01">
        <w:t xml:space="preserve"> </w:t>
      </w:r>
      <w:r>
        <w:t>DIAMOND</w:t>
      </w:r>
      <w:r w:rsidR="00181B01">
        <w:t xml:space="preserve"> </w:t>
      </w:r>
      <w:r w:rsidR="00181B01">
        <w:fldChar w:fldCharType="begin"/>
      </w:r>
      <w:r w:rsidR="00BC545F">
        <w:instrText xml:space="preserve"> ADDIN EN.CITE &lt;EndNote&gt;&lt;Cite&gt;&lt;Author&gt;Buchfink&lt;/Author&gt;&lt;Year&gt;2015&lt;/Year&gt;&lt;RecNum&gt;3060&lt;/RecNum&gt;&lt;DisplayText&gt;[11]&lt;/DisplayText&gt;&lt;record&gt;&lt;rec-number&gt;3060&lt;/rec-number&gt;&lt;foreign-keys&gt;&lt;key app="EN" db-id="rftwtzxfep9aplep2af5e5s3d5efswezszxw" timestamp="1493391966"&gt;3060&lt;/key&gt;&lt;/foreign-keys&gt;&lt;ref-type name="Journal Article"&gt;17&lt;/ref-type&gt;&lt;contributors&gt;&lt;authors&gt;&lt;author&gt;Buchfink, Benjamin&lt;/author&gt;&lt;author&gt;Xie, Chao&lt;/author&gt;&lt;author&gt;Huson, Daniel H&lt;/author&gt;&lt;/authors&gt;&lt;/contributors&gt;&lt;titles&gt;&lt;title&gt;Fast and sensitive protein alignment using DIAMOND&lt;/title&gt;&lt;secondary-title&gt;Nature methods&lt;/secondary-title&gt;&lt;/titles&gt;&lt;periodical&gt;&lt;full-title&gt;Nature methods&lt;/full-title&gt;&lt;/periodical&gt;&lt;pages&gt;59-60&lt;/pages&gt;&lt;volume&gt;12&lt;/volume&gt;&lt;number&gt;1&lt;/number&gt;&lt;dates&gt;&lt;year&gt;2015&lt;/year&gt;&lt;/dates&gt;&lt;isbn&gt;1548-7091&lt;/isbn&gt;&lt;urls&gt;&lt;/urls&gt;&lt;/record&gt;&lt;/Cite&gt;&lt;/EndNote&gt;</w:instrText>
      </w:r>
      <w:r w:rsidR="00181B01">
        <w:fldChar w:fldCharType="separate"/>
      </w:r>
      <w:r w:rsidR="00BC545F">
        <w:rPr>
          <w:noProof/>
        </w:rPr>
        <w:t>[11]</w:t>
      </w:r>
      <w:r w:rsidR="00181B01">
        <w:fldChar w:fldCharType="end"/>
      </w:r>
      <w:r>
        <w:t xml:space="preserve"> was used to perform the </w:t>
      </w:r>
      <w:r w:rsidR="00181B01">
        <w:t>comparison of ARGs to MGEs via sequence alignment</w:t>
      </w:r>
      <w:r w:rsidR="00B11A34">
        <w:t xml:space="preserve"> (parameters </w:t>
      </w:r>
      <w:r w:rsidR="009820D1">
        <w:t>e-value &lt; 1e-10</w:t>
      </w:r>
      <w:r w:rsidR="00B11A34">
        <w:t>)</w:t>
      </w:r>
      <w:r>
        <w:t xml:space="preserve">. </w:t>
      </w:r>
      <w:r w:rsidR="009820D1">
        <w:t>Alignment information along with MGEs metadata is present in the user guide</w:t>
      </w:r>
      <w:r w:rsidR="004F1DD7">
        <w:t xml:space="preserve"> for workers to make a decision whether the ARG has enough evidence of being carried by an MGE or not. This, evidence is scored from 0 to 5. Colors, depict the degrees of confidence </w:t>
      </w:r>
      <w:r w:rsidR="00B11A34">
        <w:t xml:space="preserve">of the information present in the MGE panel (see </w:t>
      </w:r>
      <w:r w:rsidR="00B11A34">
        <w:rPr>
          <w:b/>
        </w:rPr>
        <w:t>Figure X.2</w:t>
      </w:r>
      <w:r w:rsidR="00B11A34">
        <w:t xml:space="preserve">). </w:t>
      </w:r>
    </w:p>
    <w:p w14:paraId="1FC61523" w14:textId="77777777" w:rsidR="000C612A" w:rsidRDefault="000C612A" w:rsidP="007C30A4">
      <w:pPr>
        <w:jc w:val="both"/>
      </w:pPr>
    </w:p>
    <w:p w14:paraId="0D25AF84" w14:textId="2A133F0B" w:rsidR="000C612A" w:rsidRDefault="000C612A" w:rsidP="000C612A">
      <w:pPr>
        <w:pStyle w:val="Heading2"/>
      </w:pPr>
      <w:r>
        <w:t>PATHOGENS</w:t>
      </w:r>
    </w:p>
    <w:p w14:paraId="4235EEB4" w14:textId="3897CDD2" w:rsidR="000C612A" w:rsidRPr="000C612A" w:rsidRDefault="00D70944" w:rsidP="000C612A">
      <w:pPr>
        <w:jc w:val="both"/>
      </w:pPr>
      <w:r>
        <w:t>98,758 b</w:t>
      </w:r>
      <w:r w:rsidR="000C612A">
        <w:t xml:space="preserve">acterial genomes were downloaded from the PATRIC </w:t>
      </w:r>
      <w:r w:rsidR="000C612A">
        <w:fldChar w:fldCharType="begin">
          <w:fldData xml:space="preserve">PEVuZE5vdGU+PENpdGU+PEF1dGhvcj5XYXR0YW08L0F1dGhvcj48WWVhcj4yMDE0PC9ZZWFyPjxS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</w:fldData>
        </w:fldChar>
      </w:r>
      <w:r w:rsidR="00BC545F">
        <w:instrText xml:space="preserve"> ADDIN EN.CITE </w:instrText>
      </w:r>
      <w:r w:rsidR="00BC545F">
        <w:fldChar w:fldCharType="begin">
          <w:fldData xml:space="preserve">PEVuZE5vdGU+PENpdGU+PEF1dGhvcj5XYXR0YW08L0F1dGhvcj48WWVhcj4yMDE0PC9ZZWFyPjxS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</w:fldData>
        </w:fldChar>
      </w:r>
      <w:r w:rsidR="00BC545F">
        <w:instrText xml:space="preserve"> ADDIN EN.CITE.DATA </w:instrText>
      </w:r>
      <w:r w:rsidR="00BC545F">
        <w:fldChar w:fldCharType="end"/>
      </w:r>
      <w:r w:rsidR="000C612A">
        <w:fldChar w:fldCharType="separate"/>
      </w:r>
      <w:r w:rsidR="00BC545F">
        <w:rPr>
          <w:noProof/>
        </w:rPr>
        <w:t>[12]</w:t>
      </w:r>
      <w:r w:rsidR="000C612A">
        <w:fldChar w:fldCharType="end"/>
      </w:r>
      <w:r w:rsidR="00721350">
        <w:t xml:space="preserve"> database</w:t>
      </w:r>
      <w:r w:rsidR="00675779">
        <w:t xml:space="preserve">. This </w:t>
      </w:r>
      <w:r>
        <w:t>resource</w:t>
      </w:r>
      <w:r w:rsidR="00675779">
        <w:t xml:space="preserve"> </w:t>
      </w:r>
      <w:r w:rsidR="00CD38DE">
        <w:t xml:space="preserve">comprises </w:t>
      </w:r>
      <w:r w:rsidR="000C612A">
        <w:t>information about</w:t>
      </w:r>
      <w:r w:rsidR="00675779">
        <w:t xml:space="preserve"> </w:t>
      </w:r>
      <w:r>
        <w:t>bacterial</w:t>
      </w:r>
      <w:r w:rsidR="000C612A">
        <w:t xml:space="preserve"> </w:t>
      </w:r>
      <w:r w:rsidR="00CD38DE">
        <w:t>pathogenicity</w:t>
      </w:r>
      <w:r w:rsidR="000C612A">
        <w:t xml:space="preserve">, </w:t>
      </w:r>
      <w:r w:rsidR="00CD38DE">
        <w:t>antimicrobial</w:t>
      </w:r>
      <w:r w:rsidR="000C612A">
        <w:t xml:space="preserve"> resistance </w:t>
      </w:r>
      <w:r w:rsidR="00CD38DE">
        <w:t>phenotype</w:t>
      </w:r>
      <w:r w:rsidR="000C612A">
        <w:t>,</w:t>
      </w:r>
      <w:r w:rsidR="00675779">
        <w:t xml:space="preserve"> diseases and </w:t>
      </w:r>
      <w:r>
        <w:t>host organisms</w:t>
      </w:r>
      <w:r w:rsidR="00CD38DE">
        <w:t>.</w:t>
      </w:r>
      <w:r>
        <w:t xml:space="preserve"> This i</w:t>
      </w:r>
      <w:r w:rsidR="00675779">
        <w:t xml:space="preserve">nformation is valuable to identify ARGs that are present in pathogens. </w:t>
      </w:r>
      <w:r>
        <w:t xml:space="preserve">For instance, the gene xxx was </w:t>
      </w:r>
      <w:r w:rsidR="00675779">
        <w:t>present in xxx bacterial geno</w:t>
      </w:r>
      <w:r>
        <w:t>m</w:t>
      </w:r>
      <w:r w:rsidR="00675779">
        <w:t>es, o</w:t>
      </w:r>
      <w:r>
        <w:t>ut of those xxx are pathogens. On the other hand, the gene xxx was present in xxx genomes, but, none of those genomes corresponded to a pathogenic genome.</w:t>
      </w:r>
      <w:r w:rsidR="00675779">
        <w:t xml:space="preserve"> </w:t>
      </w:r>
      <w:r>
        <w:t>T</w:t>
      </w:r>
      <w:r w:rsidR="00CD38DE">
        <w:t>he collection of ARGs were</w:t>
      </w:r>
      <w:r>
        <w:t xml:space="preserve"> then</w:t>
      </w:r>
      <w:r w:rsidR="00CD38DE">
        <w:t xml:space="preserve"> screened against the </w:t>
      </w:r>
      <w:r>
        <w:t xml:space="preserve">genome sequences </w:t>
      </w:r>
      <w:r w:rsidR="00CD38DE">
        <w:t xml:space="preserve">from </w:t>
      </w:r>
      <w:r>
        <w:t>PATRIC using DIAMOND. To ensure the quality of the assignments, all genes with an identity below 90% and a minimum coverage of 90% were discarded.</w:t>
      </w:r>
      <w:r w:rsidR="00C95F4B">
        <w:t xml:space="preserve"> Workers are asked to rate the pathogenicity of an ARG based on the evidence provided (frequency of pathogenic genomes, diseases, antimicrobial phenotype and hosts. See </w:t>
      </w:r>
      <w:r w:rsidR="00C95F4B">
        <w:rPr>
          <w:b/>
        </w:rPr>
        <w:t>Figure X.3</w:t>
      </w:r>
      <w:r w:rsidR="00C95F4B">
        <w:t>).</w:t>
      </w:r>
      <w:r w:rsidR="008338D7">
        <w:t xml:space="preserve"> </w:t>
      </w:r>
    </w:p>
    <w:p w14:paraId="08BFC65F" w14:textId="77777777" w:rsidR="000C612A" w:rsidRPr="00900DCD" w:rsidRDefault="000C612A" w:rsidP="007C30A4">
      <w:pPr>
        <w:jc w:val="both"/>
      </w:pPr>
    </w:p>
    <w:p w14:paraId="7413974E" w14:textId="77777777" w:rsidR="00DD2EC0" w:rsidRDefault="00DD2EC0" w:rsidP="007C30A4">
      <w:pPr>
        <w:jc w:val="both"/>
      </w:pPr>
    </w:p>
    <w:p w14:paraId="1C9A99BF" w14:textId="1C5DA5A5" w:rsidR="002035E7" w:rsidRDefault="002035E7" w:rsidP="002035E7">
      <w:pPr>
        <w:pStyle w:val="Heading2"/>
      </w:pPr>
      <w:r>
        <w:t>ARG-</w:t>
      </w:r>
      <w:r w:rsidR="001C7D2C">
        <w:t>MINER</w:t>
      </w:r>
      <w:r>
        <w:t xml:space="preserve"> PLATFORM</w:t>
      </w:r>
    </w:p>
    <w:p w14:paraId="6D7B665D" w14:textId="77777777" w:rsidR="00BE3F28" w:rsidRDefault="00BE3F28" w:rsidP="00BE3F28"/>
    <w:p w14:paraId="533D3430" w14:textId="7FDF5F95" w:rsidR="00FD3638" w:rsidRDefault="00FD3638" w:rsidP="00BE3F28">
      <w:r>
        <w:t>REMOVING CROWDSOURCING NOISE</w:t>
      </w:r>
    </w:p>
    <w:p w14:paraId="3762DFB9" w14:textId="77777777" w:rsidR="00FD3638" w:rsidRDefault="00FD3638" w:rsidP="00BE3F28"/>
    <w:p w14:paraId="672D9B24" w14:textId="7A0E58DC" w:rsidR="00FD3638" w:rsidRDefault="00FD3638" w:rsidP="00BE3F28">
      <w:r>
        <w:t>CROWDSOURCING CONSISTENCY</w:t>
      </w:r>
    </w:p>
    <w:p w14:paraId="5BA5933C" w14:textId="77777777" w:rsidR="00FD3638" w:rsidRDefault="00FD3638" w:rsidP="00BE3F28"/>
    <w:p w14:paraId="5E23D796" w14:textId="390640A9" w:rsidR="00FD3638" w:rsidRDefault="00FD3638" w:rsidP="00BE3F28">
      <w:r>
        <w:t xml:space="preserve">EXPERIMENT INTERFACE </w:t>
      </w:r>
    </w:p>
    <w:p w14:paraId="0886DE2E" w14:textId="77777777" w:rsidR="00FD3638" w:rsidRDefault="00FD3638" w:rsidP="00BE3F28"/>
    <w:p w14:paraId="3FEB64D8" w14:textId="4248493B" w:rsidR="00FD3638" w:rsidRPr="00BE3F28" w:rsidRDefault="00FD3638" w:rsidP="00BE3F28">
      <w:r>
        <w:t xml:space="preserve">ADMINISTRATION INTERFACE </w:t>
      </w:r>
    </w:p>
    <w:p w14:paraId="1321242C" w14:textId="77777777" w:rsidR="002035E7" w:rsidRDefault="002035E7" w:rsidP="002035E7"/>
    <w:p w14:paraId="5A89555E" w14:textId="079D675C" w:rsidR="004D0392" w:rsidRDefault="00FD3638" w:rsidP="004D0392">
      <w:pPr>
        <w:pStyle w:val="Heading2"/>
      </w:pPr>
      <w:r>
        <w:t>CASE STUDIES AND E</w:t>
      </w:r>
      <w:r w:rsidR="004D0392">
        <w:t>VALUATION</w:t>
      </w:r>
    </w:p>
    <w:p w14:paraId="3C92E008" w14:textId="77777777" w:rsidR="00FD3638" w:rsidRDefault="00FD3638" w:rsidP="00FD3638"/>
    <w:p w14:paraId="69A961CE" w14:textId="5A7C8DCD" w:rsidR="00FD3638" w:rsidRDefault="00FD3638" w:rsidP="00FD3638">
      <w:r>
        <w:t>GENE XXX</w:t>
      </w:r>
    </w:p>
    <w:p w14:paraId="7758D5B9" w14:textId="3991BD90" w:rsidR="00FD3638" w:rsidRDefault="00FD3638" w:rsidP="00FD3638">
      <w:r>
        <w:t>GENE XXX</w:t>
      </w:r>
    </w:p>
    <w:p w14:paraId="260C1BC3" w14:textId="77777777" w:rsidR="00FD3638" w:rsidRDefault="00FD3638" w:rsidP="00FD3638"/>
    <w:p w14:paraId="27222038" w14:textId="34250FE6" w:rsidR="00FD3638" w:rsidRPr="00FD3638" w:rsidRDefault="00FD3638" w:rsidP="00FD3638">
      <w:r>
        <w:t>EVALUATING THE CROWD</w:t>
      </w:r>
    </w:p>
    <w:p w14:paraId="4CFB2A0F" w14:textId="77777777" w:rsidR="004D0392" w:rsidRDefault="004D0392" w:rsidP="002035E7"/>
    <w:p w14:paraId="277B9E51" w14:textId="4C755999" w:rsidR="004D0392" w:rsidRDefault="004D0392" w:rsidP="004D0392">
      <w:pPr>
        <w:pStyle w:val="Heading2"/>
      </w:pPr>
      <w:r>
        <w:t>ARG-MINER API</w:t>
      </w:r>
    </w:p>
    <w:p w14:paraId="7422DDE4" w14:textId="77777777" w:rsidR="007B53A8" w:rsidRDefault="007B53A8" w:rsidP="002035E7"/>
    <w:p w14:paraId="0DC9071F" w14:textId="77777777" w:rsidR="007B53A8" w:rsidRPr="002035E7" w:rsidRDefault="007B53A8" w:rsidP="002035E7"/>
    <w:p w14:paraId="668D0AD5" w14:textId="77777777" w:rsidR="00F95523" w:rsidRDefault="00F95523" w:rsidP="007C30A4">
      <w:pPr>
        <w:jc w:val="both"/>
      </w:pPr>
      <w:r>
        <w:t>How is the method designed?</w:t>
      </w:r>
    </w:p>
    <w:p w14:paraId="23F7D5A2" w14:textId="7B8BB9F2" w:rsidR="004A3F82" w:rsidRDefault="004A3F82" w:rsidP="007C30A4">
      <w:pPr>
        <w:jc w:val="both"/>
      </w:pPr>
      <w:r>
        <w:t>Insert a figure here showing the general process backend and front</w:t>
      </w:r>
      <w:r w:rsidR="00D70944">
        <w:t xml:space="preserve"> </w:t>
      </w:r>
      <w:r>
        <w:t>end</w:t>
      </w:r>
    </w:p>
    <w:p w14:paraId="6E495BDF" w14:textId="17C22536" w:rsidR="002C5FE1" w:rsidRDefault="002C5FE1" w:rsidP="007C30A4">
      <w:pPr>
        <w:jc w:val="both"/>
      </w:pPr>
      <w:r>
        <w:t>Which are the components of the platform annotation?</w:t>
      </w:r>
    </w:p>
    <w:p w14:paraId="0E1A441D" w14:textId="67084428" w:rsidR="002C5FE1" w:rsidRDefault="00F95523" w:rsidP="007C30A4">
      <w:pPr>
        <w:jc w:val="both"/>
      </w:pPr>
      <w:r>
        <w:t>What is the database collection and information obtained?</w:t>
      </w:r>
    </w:p>
    <w:p w14:paraId="18DC7970" w14:textId="726A5B63" w:rsidR="00F95523" w:rsidRDefault="00F95523" w:rsidP="007C30A4">
      <w:pPr>
        <w:jc w:val="both"/>
      </w:pPr>
      <w:r>
        <w:t>How the data was compared</w:t>
      </w:r>
      <w:r w:rsidR="002C5FE1">
        <w:t xml:space="preserve"> to what ARGs</w:t>
      </w:r>
      <w:r>
        <w:t>?</w:t>
      </w:r>
    </w:p>
    <w:p w14:paraId="4BA69E72" w14:textId="7D1317DF" w:rsidR="003F749E" w:rsidRDefault="003F749E" w:rsidP="007C30A4">
      <w:pPr>
        <w:jc w:val="both"/>
      </w:pPr>
      <w:r>
        <w:t>How is the system being evaluated?</w:t>
      </w:r>
    </w:p>
    <w:p w14:paraId="4BB20241" w14:textId="2661F0A6" w:rsidR="002C5FE1" w:rsidRDefault="002C5FE1" w:rsidP="007C30A4">
      <w:pPr>
        <w:jc w:val="both"/>
      </w:pPr>
      <w:r>
        <w:t>How each worker is scored?</w:t>
      </w:r>
    </w:p>
    <w:p w14:paraId="1659D94A" w14:textId="4302A387" w:rsidR="002C5FE1" w:rsidRDefault="002C5FE1" w:rsidP="007C30A4">
      <w:pPr>
        <w:jc w:val="both"/>
      </w:pPr>
      <w:r>
        <w:t>How each gene is scored?</w:t>
      </w:r>
    </w:p>
    <w:p w14:paraId="754AD1BD" w14:textId="11C23519" w:rsidR="002C5FE1" w:rsidRDefault="002C5FE1" w:rsidP="007C30A4">
      <w:pPr>
        <w:jc w:val="both"/>
      </w:pPr>
      <w:r>
        <w:t>How is the evaluation made?</w:t>
      </w:r>
    </w:p>
    <w:p w14:paraId="65A1F85F" w14:textId="3F6A9DB3" w:rsidR="002C5FE1" w:rsidRDefault="002C5FE1" w:rsidP="007C30A4">
      <w:pPr>
        <w:jc w:val="both"/>
      </w:pPr>
      <w:r>
        <w:t>Which platform used for the crowdsourcing?</w:t>
      </w:r>
    </w:p>
    <w:p w14:paraId="0DE540E2" w14:textId="7964109E" w:rsidR="00E91572" w:rsidRPr="002C5FE1" w:rsidRDefault="00E91572" w:rsidP="007C30A4">
      <w:pPr>
        <w:jc w:val="both"/>
      </w:pPr>
      <w:r>
        <w:t>How the platform is dedicated to non-experts?</w:t>
      </w:r>
    </w:p>
    <w:p w14:paraId="0CD8E1DB" w14:textId="528404DE" w:rsidR="002C5FE1" w:rsidRDefault="002C5FE1" w:rsidP="007C30A4">
      <w:pPr>
        <w:pStyle w:val="Heading1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RESULTS</w:t>
      </w:r>
    </w:p>
    <w:p w14:paraId="0CEE0DE1" w14:textId="3168F42C" w:rsidR="00E91572" w:rsidRDefault="00E91572" w:rsidP="007C30A4">
      <w:pPr>
        <w:jc w:val="both"/>
      </w:pPr>
      <w:r>
        <w:t>Average annotation</w:t>
      </w:r>
    </w:p>
    <w:p w14:paraId="00A768B7" w14:textId="32F057EA" w:rsidR="00E91572" w:rsidRDefault="00E91572" w:rsidP="007C30A4">
      <w:pPr>
        <w:jc w:val="both"/>
      </w:pPr>
      <w:r>
        <w:t>Average time for annotation</w:t>
      </w:r>
    </w:p>
    <w:p w14:paraId="51793B9A" w14:textId="12AE3EE4" w:rsidR="00E91572" w:rsidRDefault="00E91572" w:rsidP="007C30A4">
      <w:pPr>
        <w:jc w:val="both"/>
      </w:pPr>
      <w:r>
        <w:t>Number of different workers</w:t>
      </w:r>
    </w:p>
    <w:p w14:paraId="2DBB9FFA" w14:textId="525473DF" w:rsidR="002C5FE1" w:rsidRDefault="00E91572" w:rsidP="007C30A4">
      <w:pPr>
        <w:jc w:val="both"/>
      </w:pPr>
      <w:r>
        <w:t>Invalid user responses</w:t>
      </w:r>
    </w:p>
    <w:p w14:paraId="41AF5A0A" w14:textId="1B8D1181" w:rsidR="00E91572" w:rsidRDefault="00E91572" w:rsidP="007C30A4">
      <w:pPr>
        <w:jc w:val="both"/>
      </w:pPr>
      <w:r>
        <w:t>How the scammer-free strategy improved the performance of the annotations?</w:t>
      </w:r>
    </w:p>
    <w:p w14:paraId="6C900441" w14:textId="76C84179" w:rsidR="00225EB6" w:rsidRDefault="00225EB6" w:rsidP="007C30A4">
      <w:pPr>
        <w:jc w:val="both"/>
      </w:pPr>
      <w:r>
        <w:t>Quality of the workers and quality of the classifications.</w:t>
      </w:r>
    </w:p>
    <w:p w14:paraId="0161AF41" w14:textId="77777777" w:rsidR="00E91572" w:rsidRPr="002C5FE1" w:rsidRDefault="00E91572" w:rsidP="007C30A4">
      <w:pPr>
        <w:jc w:val="both"/>
      </w:pPr>
    </w:p>
    <w:p w14:paraId="4D480053" w14:textId="0D527DD3" w:rsidR="002C5FE1" w:rsidRDefault="002C5FE1" w:rsidP="007C30A4">
      <w:pPr>
        <w:pStyle w:val="Heading1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FUTURE WORK</w:t>
      </w:r>
    </w:p>
    <w:p w14:paraId="75244E33" w14:textId="77777777" w:rsidR="002C5FE1" w:rsidRPr="002C5FE1" w:rsidRDefault="002C5FE1" w:rsidP="007C30A4">
      <w:pPr>
        <w:jc w:val="both"/>
      </w:pPr>
    </w:p>
    <w:p w14:paraId="3F80BDF1" w14:textId="0DC4289B" w:rsidR="00DD2EC0" w:rsidRPr="00DD2EC0" w:rsidRDefault="002C5FE1" w:rsidP="007C30A4">
      <w:pPr>
        <w:pStyle w:val="Heading1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REFERENCES</w:t>
      </w:r>
    </w:p>
    <w:p w14:paraId="5A76F374" w14:textId="77777777" w:rsidR="00BC545F" w:rsidRPr="00BC545F" w:rsidRDefault="00DD2EC0" w:rsidP="00BC545F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BC545F" w:rsidRPr="00BC545F">
        <w:rPr>
          <w:noProof/>
        </w:rPr>
        <w:t>1.</w:t>
      </w:r>
      <w:r w:rsidR="00BC545F" w:rsidRPr="00BC545F">
        <w:rPr>
          <w:noProof/>
        </w:rPr>
        <w:tab/>
        <w:t xml:space="preserve">Frost, L.S., et al., </w:t>
      </w:r>
      <w:r w:rsidR="00BC545F" w:rsidRPr="00BC545F">
        <w:rPr>
          <w:i/>
          <w:noProof/>
        </w:rPr>
        <w:t>Mobile genetic elements: the agents of open source evolution.</w:t>
      </w:r>
      <w:r w:rsidR="00BC545F" w:rsidRPr="00BC545F">
        <w:rPr>
          <w:noProof/>
        </w:rPr>
        <w:t xml:space="preserve"> Nature reviews. Microbiology, 2005. </w:t>
      </w:r>
      <w:r w:rsidR="00BC545F" w:rsidRPr="00BC545F">
        <w:rPr>
          <w:b/>
          <w:noProof/>
        </w:rPr>
        <w:t>3</w:t>
      </w:r>
      <w:r w:rsidR="00BC545F" w:rsidRPr="00BC545F">
        <w:rPr>
          <w:noProof/>
        </w:rPr>
        <w:t>(9): p. 722.</w:t>
      </w:r>
    </w:p>
    <w:p w14:paraId="50695BAE" w14:textId="77777777" w:rsidR="00BC545F" w:rsidRPr="00BC545F" w:rsidRDefault="00BC545F" w:rsidP="00BC545F">
      <w:pPr>
        <w:pStyle w:val="EndNoteBibliography"/>
        <w:ind w:left="720" w:hanging="720"/>
        <w:rPr>
          <w:noProof/>
        </w:rPr>
      </w:pPr>
      <w:r w:rsidRPr="00BC545F">
        <w:rPr>
          <w:noProof/>
        </w:rPr>
        <w:t>2.</w:t>
      </w:r>
      <w:r w:rsidRPr="00BC545F">
        <w:rPr>
          <w:noProof/>
        </w:rPr>
        <w:tab/>
        <w:t xml:space="preserve">McArthur, A.G., et al., </w:t>
      </w:r>
      <w:r w:rsidRPr="00BC545F">
        <w:rPr>
          <w:i/>
          <w:noProof/>
        </w:rPr>
        <w:t>The comprehensive antibiotic resistance database.</w:t>
      </w:r>
      <w:r w:rsidRPr="00BC545F">
        <w:rPr>
          <w:noProof/>
        </w:rPr>
        <w:t xml:space="preserve"> Antimicrobial agents and chemotherapy, 2013. </w:t>
      </w:r>
      <w:r w:rsidRPr="00BC545F">
        <w:rPr>
          <w:b/>
          <w:noProof/>
        </w:rPr>
        <w:t>57</w:t>
      </w:r>
      <w:r w:rsidRPr="00BC545F">
        <w:rPr>
          <w:noProof/>
        </w:rPr>
        <w:t>(7): p. 3348-3357.</w:t>
      </w:r>
    </w:p>
    <w:p w14:paraId="11E33265" w14:textId="77777777" w:rsidR="00BC545F" w:rsidRPr="00BC545F" w:rsidRDefault="00BC545F" w:rsidP="00BC545F">
      <w:pPr>
        <w:pStyle w:val="EndNoteBibliography"/>
        <w:ind w:left="720" w:hanging="720"/>
        <w:rPr>
          <w:noProof/>
        </w:rPr>
      </w:pPr>
      <w:r w:rsidRPr="00BC545F">
        <w:rPr>
          <w:noProof/>
        </w:rPr>
        <w:t>3.</w:t>
      </w:r>
      <w:r w:rsidRPr="00BC545F">
        <w:rPr>
          <w:noProof/>
        </w:rPr>
        <w:tab/>
        <w:t xml:space="preserve">Liu, B. and M. Pop, </w:t>
      </w:r>
      <w:r w:rsidRPr="00BC545F">
        <w:rPr>
          <w:i/>
          <w:noProof/>
        </w:rPr>
        <w:t>ARDB—antibiotic resistance genes database.</w:t>
      </w:r>
      <w:r w:rsidRPr="00BC545F">
        <w:rPr>
          <w:noProof/>
        </w:rPr>
        <w:t xml:space="preserve"> Nucleic acids research, 2008. </w:t>
      </w:r>
      <w:r w:rsidRPr="00BC545F">
        <w:rPr>
          <w:b/>
          <w:noProof/>
        </w:rPr>
        <w:t>37</w:t>
      </w:r>
      <w:r w:rsidRPr="00BC545F">
        <w:rPr>
          <w:noProof/>
        </w:rPr>
        <w:t>(suppl_1): p. D443-D447.</w:t>
      </w:r>
    </w:p>
    <w:p w14:paraId="5D4951B3" w14:textId="77777777" w:rsidR="00BC545F" w:rsidRPr="00BC545F" w:rsidRDefault="00BC545F" w:rsidP="00BC545F">
      <w:pPr>
        <w:pStyle w:val="EndNoteBibliography"/>
        <w:ind w:left="720" w:hanging="720"/>
        <w:rPr>
          <w:noProof/>
        </w:rPr>
      </w:pPr>
      <w:r w:rsidRPr="00BC545F">
        <w:rPr>
          <w:noProof/>
        </w:rPr>
        <w:t>4.</w:t>
      </w:r>
      <w:r w:rsidRPr="00BC545F">
        <w:rPr>
          <w:noProof/>
        </w:rPr>
        <w:tab/>
        <w:t xml:space="preserve">Arango-Argoty, G.A., et al., </w:t>
      </w:r>
      <w:r w:rsidRPr="00BC545F">
        <w:rPr>
          <w:i/>
          <w:noProof/>
        </w:rPr>
        <w:t>DeepARG: A deep learning approach for predicting antibiotic resistance genes from metagenomic data.</w:t>
      </w:r>
      <w:r w:rsidRPr="00BC545F">
        <w:rPr>
          <w:noProof/>
        </w:rPr>
        <w:t xml:space="preserve"> bioRxiv, 2017: p. 149328.</w:t>
      </w:r>
    </w:p>
    <w:p w14:paraId="2AC50817" w14:textId="77777777" w:rsidR="00BC545F" w:rsidRPr="00BC545F" w:rsidRDefault="00BC545F" w:rsidP="00BC545F">
      <w:pPr>
        <w:pStyle w:val="EndNoteBibliography"/>
        <w:ind w:left="720" w:hanging="720"/>
        <w:rPr>
          <w:noProof/>
        </w:rPr>
      </w:pPr>
      <w:r w:rsidRPr="00BC545F">
        <w:rPr>
          <w:noProof/>
        </w:rPr>
        <w:t>5.</w:t>
      </w:r>
      <w:r w:rsidRPr="00BC545F">
        <w:rPr>
          <w:noProof/>
        </w:rPr>
        <w:tab/>
        <w:t xml:space="preserve">Consortium, U., </w:t>
      </w:r>
      <w:r w:rsidRPr="00BC545F">
        <w:rPr>
          <w:i/>
          <w:noProof/>
        </w:rPr>
        <w:t>UniProt: a hub for protein information.</w:t>
      </w:r>
      <w:r w:rsidRPr="00BC545F">
        <w:rPr>
          <w:noProof/>
        </w:rPr>
        <w:t xml:space="preserve"> Nucleic acids research, 2014: p. gku989.</w:t>
      </w:r>
    </w:p>
    <w:p w14:paraId="0516C72B" w14:textId="77777777" w:rsidR="00BC545F" w:rsidRPr="00BC545F" w:rsidRDefault="00BC545F" w:rsidP="00BC545F">
      <w:pPr>
        <w:pStyle w:val="EndNoteBibliography"/>
        <w:ind w:left="720" w:hanging="720"/>
        <w:rPr>
          <w:noProof/>
        </w:rPr>
      </w:pPr>
      <w:r w:rsidRPr="00BC545F">
        <w:rPr>
          <w:noProof/>
        </w:rPr>
        <w:t>6.</w:t>
      </w:r>
      <w:r w:rsidRPr="00BC545F">
        <w:rPr>
          <w:noProof/>
        </w:rPr>
        <w:tab/>
        <w:t xml:space="preserve">Lakin, S.M., et al., </w:t>
      </w:r>
      <w:r w:rsidRPr="00BC545F">
        <w:rPr>
          <w:i/>
          <w:noProof/>
        </w:rPr>
        <w:t>MEGARes: an antimicrobial resistance database for high throughput sequencing.</w:t>
      </w:r>
      <w:r w:rsidRPr="00BC545F">
        <w:rPr>
          <w:noProof/>
        </w:rPr>
        <w:t xml:space="preserve"> Nucleic acids research, 2017. </w:t>
      </w:r>
      <w:r w:rsidRPr="00BC545F">
        <w:rPr>
          <w:b/>
          <w:noProof/>
        </w:rPr>
        <w:t>45</w:t>
      </w:r>
      <w:r w:rsidRPr="00BC545F">
        <w:rPr>
          <w:noProof/>
        </w:rPr>
        <w:t>(D1): p. D574-D580.</w:t>
      </w:r>
    </w:p>
    <w:p w14:paraId="1286B2CA" w14:textId="77777777" w:rsidR="00BC545F" w:rsidRPr="00BC545F" w:rsidRDefault="00BC545F" w:rsidP="00BC545F">
      <w:pPr>
        <w:pStyle w:val="EndNoteBibliography"/>
        <w:ind w:left="720" w:hanging="720"/>
        <w:rPr>
          <w:noProof/>
        </w:rPr>
      </w:pPr>
      <w:r w:rsidRPr="00BC545F">
        <w:rPr>
          <w:noProof/>
        </w:rPr>
        <w:t>7.</w:t>
      </w:r>
      <w:r w:rsidRPr="00BC545F">
        <w:rPr>
          <w:noProof/>
        </w:rPr>
        <w:tab/>
        <w:t xml:space="preserve">Gupta, S.K., et al., </w:t>
      </w:r>
      <w:r w:rsidRPr="00BC545F">
        <w:rPr>
          <w:i/>
          <w:noProof/>
        </w:rPr>
        <w:t>ARG-ANNOT, a new bioinformatic tool to discover antibiotic resistance genes in bacterial genomes.</w:t>
      </w:r>
      <w:r w:rsidRPr="00BC545F">
        <w:rPr>
          <w:noProof/>
        </w:rPr>
        <w:t xml:space="preserve"> Antimicrob Agents Chemother, 2014. </w:t>
      </w:r>
      <w:r w:rsidRPr="00BC545F">
        <w:rPr>
          <w:b/>
          <w:noProof/>
        </w:rPr>
        <w:t>58</w:t>
      </w:r>
      <w:r w:rsidRPr="00BC545F">
        <w:rPr>
          <w:noProof/>
        </w:rPr>
        <w:t>(1): p. 212-20.</w:t>
      </w:r>
    </w:p>
    <w:p w14:paraId="7497BDF5" w14:textId="77777777" w:rsidR="00BC545F" w:rsidRPr="00BC545F" w:rsidRDefault="00BC545F" w:rsidP="00BC545F">
      <w:pPr>
        <w:pStyle w:val="EndNoteBibliography"/>
        <w:ind w:left="720" w:hanging="720"/>
        <w:rPr>
          <w:noProof/>
        </w:rPr>
      </w:pPr>
      <w:r w:rsidRPr="00BC545F">
        <w:rPr>
          <w:noProof/>
        </w:rPr>
        <w:t>8.</w:t>
      </w:r>
      <w:r w:rsidRPr="00BC545F">
        <w:rPr>
          <w:noProof/>
        </w:rPr>
        <w:tab/>
        <w:t xml:space="preserve">Zankari, E., et al., </w:t>
      </w:r>
      <w:r w:rsidRPr="00BC545F">
        <w:rPr>
          <w:i/>
          <w:noProof/>
        </w:rPr>
        <w:t>Identification of acquired antimicrobial resistance genes.</w:t>
      </w:r>
      <w:r w:rsidRPr="00BC545F">
        <w:rPr>
          <w:noProof/>
        </w:rPr>
        <w:t xml:space="preserve"> J Antimicrob Chemother, 2012. </w:t>
      </w:r>
      <w:r w:rsidRPr="00BC545F">
        <w:rPr>
          <w:b/>
          <w:noProof/>
        </w:rPr>
        <w:t>67</w:t>
      </w:r>
      <w:r w:rsidRPr="00BC545F">
        <w:rPr>
          <w:noProof/>
        </w:rPr>
        <w:t>(11): p. 2640-4.</w:t>
      </w:r>
    </w:p>
    <w:p w14:paraId="6FDB5B84" w14:textId="77777777" w:rsidR="00BC545F" w:rsidRPr="00BC545F" w:rsidRDefault="00BC545F" w:rsidP="00BC545F">
      <w:pPr>
        <w:pStyle w:val="EndNoteBibliography"/>
        <w:ind w:left="720" w:hanging="720"/>
        <w:rPr>
          <w:noProof/>
        </w:rPr>
      </w:pPr>
      <w:r w:rsidRPr="00BC545F">
        <w:rPr>
          <w:noProof/>
        </w:rPr>
        <w:t>9.</w:t>
      </w:r>
      <w:r w:rsidRPr="00BC545F">
        <w:rPr>
          <w:noProof/>
        </w:rPr>
        <w:tab/>
        <w:t xml:space="preserve">Bush, K. and G.A. Jacoby, </w:t>
      </w:r>
      <w:r w:rsidRPr="00BC545F">
        <w:rPr>
          <w:i/>
          <w:noProof/>
        </w:rPr>
        <w:t>Updated functional classification of β-lactamases.</w:t>
      </w:r>
      <w:r w:rsidRPr="00BC545F">
        <w:rPr>
          <w:noProof/>
        </w:rPr>
        <w:t xml:space="preserve"> Antimicrobial agents and chemotherapy, 2010. </w:t>
      </w:r>
      <w:r w:rsidRPr="00BC545F">
        <w:rPr>
          <w:b/>
          <w:noProof/>
        </w:rPr>
        <w:t>54</w:t>
      </w:r>
      <w:r w:rsidRPr="00BC545F">
        <w:rPr>
          <w:noProof/>
        </w:rPr>
        <w:t>(3): p. 969-976.</w:t>
      </w:r>
    </w:p>
    <w:p w14:paraId="332A1665" w14:textId="77777777" w:rsidR="00BC545F" w:rsidRPr="00BC545F" w:rsidRDefault="00BC545F" w:rsidP="00BC545F">
      <w:pPr>
        <w:pStyle w:val="EndNoteBibliography"/>
        <w:ind w:left="720" w:hanging="720"/>
        <w:rPr>
          <w:noProof/>
        </w:rPr>
      </w:pPr>
      <w:r w:rsidRPr="00BC545F">
        <w:rPr>
          <w:noProof/>
        </w:rPr>
        <w:t>10.</w:t>
      </w:r>
      <w:r w:rsidRPr="00BC545F">
        <w:rPr>
          <w:noProof/>
        </w:rPr>
        <w:tab/>
        <w:t xml:space="preserve">Leplae, R., et al., </w:t>
      </w:r>
      <w:r w:rsidRPr="00BC545F">
        <w:rPr>
          <w:i/>
          <w:noProof/>
        </w:rPr>
        <w:t>ACLAME: a CLAssification of Mobile genetic Elements.</w:t>
      </w:r>
      <w:r w:rsidRPr="00BC545F">
        <w:rPr>
          <w:noProof/>
        </w:rPr>
        <w:t xml:space="preserve"> Nucleic acids research, 2004. </w:t>
      </w:r>
      <w:r w:rsidRPr="00BC545F">
        <w:rPr>
          <w:b/>
          <w:noProof/>
        </w:rPr>
        <w:t>32</w:t>
      </w:r>
      <w:r w:rsidRPr="00BC545F">
        <w:rPr>
          <w:noProof/>
        </w:rPr>
        <w:t>(suppl_1): p. D45-D49.</w:t>
      </w:r>
    </w:p>
    <w:p w14:paraId="43450D5B" w14:textId="77777777" w:rsidR="00BC545F" w:rsidRPr="00BC545F" w:rsidRDefault="00BC545F" w:rsidP="00BC545F">
      <w:pPr>
        <w:pStyle w:val="EndNoteBibliography"/>
        <w:ind w:left="720" w:hanging="720"/>
        <w:rPr>
          <w:noProof/>
        </w:rPr>
      </w:pPr>
      <w:r w:rsidRPr="00BC545F">
        <w:rPr>
          <w:noProof/>
        </w:rPr>
        <w:t>11.</w:t>
      </w:r>
      <w:r w:rsidRPr="00BC545F">
        <w:rPr>
          <w:noProof/>
        </w:rPr>
        <w:tab/>
        <w:t xml:space="preserve">Buchfink, B., C. Xie, and D.H. Huson, </w:t>
      </w:r>
      <w:r w:rsidRPr="00BC545F">
        <w:rPr>
          <w:i/>
          <w:noProof/>
        </w:rPr>
        <w:t>Fast and sensitive protein alignment using DIAMOND.</w:t>
      </w:r>
      <w:r w:rsidRPr="00BC545F">
        <w:rPr>
          <w:noProof/>
        </w:rPr>
        <w:t xml:space="preserve"> Nature methods, 2015. </w:t>
      </w:r>
      <w:r w:rsidRPr="00BC545F">
        <w:rPr>
          <w:b/>
          <w:noProof/>
        </w:rPr>
        <w:t>12</w:t>
      </w:r>
      <w:r w:rsidRPr="00BC545F">
        <w:rPr>
          <w:noProof/>
        </w:rPr>
        <w:t>(1): p. 59-60.</w:t>
      </w:r>
    </w:p>
    <w:p w14:paraId="60431305" w14:textId="77777777" w:rsidR="00BC545F" w:rsidRPr="00BC545F" w:rsidRDefault="00BC545F" w:rsidP="00BC545F">
      <w:pPr>
        <w:pStyle w:val="EndNoteBibliography"/>
        <w:ind w:left="720" w:hanging="720"/>
        <w:rPr>
          <w:noProof/>
        </w:rPr>
      </w:pPr>
      <w:r w:rsidRPr="00BC545F">
        <w:rPr>
          <w:noProof/>
        </w:rPr>
        <w:t>12.</w:t>
      </w:r>
      <w:r w:rsidRPr="00BC545F">
        <w:rPr>
          <w:noProof/>
        </w:rPr>
        <w:tab/>
        <w:t xml:space="preserve">Wattam, A.R., et al., </w:t>
      </w:r>
      <w:r w:rsidRPr="00BC545F">
        <w:rPr>
          <w:i/>
          <w:noProof/>
        </w:rPr>
        <w:t>PATRIC, the bacterial bioinformatics database and analysis resource.</w:t>
      </w:r>
      <w:r w:rsidRPr="00BC545F">
        <w:rPr>
          <w:noProof/>
        </w:rPr>
        <w:t xml:space="preserve"> Nucleic Acids Res, 2014. </w:t>
      </w:r>
      <w:r w:rsidRPr="00BC545F">
        <w:rPr>
          <w:b/>
          <w:noProof/>
        </w:rPr>
        <w:t>42</w:t>
      </w:r>
      <w:r w:rsidRPr="00BC545F">
        <w:rPr>
          <w:noProof/>
        </w:rPr>
        <w:t>(Database issue): p. D581-91.</w:t>
      </w:r>
    </w:p>
    <w:p w14:paraId="30B1B489" w14:textId="6D8FDE74" w:rsidR="002C5FE1" w:rsidRPr="007A19F8" w:rsidRDefault="00DD2EC0" w:rsidP="007C30A4">
      <w:pPr>
        <w:jc w:val="both"/>
      </w:pPr>
      <w:r>
        <w:fldChar w:fldCharType="end"/>
      </w:r>
    </w:p>
    <w:sectPr w:rsidR="002C5FE1" w:rsidRPr="007A19F8" w:rsidSect="00195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22604"/>
    <w:multiLevelType w:val="hybridMultilevel"/>
    <w:tmpl w:val="44165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21C9D"/>
    <w:multiLevelType w:val="multilevel"/>
    <w:tmpl w:val="E868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BA70BE"/>
    <w:multiLevelType w:val="hybridMultilevel"/>
    <w:tmpl w:val="2FB22062"/>
    <w:lvl w:ilvl="0" w:tplc="C4BA8F8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F1206B"/>
    <w:multiLevelType w:val="hybridMultilevel"/>
    <w:tmpl w:val="DB9A1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F47610"/>
    <w:multiLevelType w:val="hybridMultilevel"/>
    <w:tmpl w:val="0B42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237029"/>
    <w:multiLevelType w:val="hybridMultilevel"/>
    <w:tmpl w:val="4352F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ftwtzxfep9aplep2af5e5s3d5efswezszxw&quot;&gt;My EndNote Library&lt;record-ids&gt;&lt;item&gt;308&lt;/item&gt;&lt;item&gt;311&lt;/item&gt;&lt;item&gt;754&lt;/item&gt;&lt;item&gt;3016&lt;/item&gt;&lt;item&gt;3060&lt;/item&gt;&lt;item&gt;3077&lt;/item&gt;&lt;item&gt;3081&lt;/item&gt;&lt;item&gt;3083&lt;/item&gt;&lt;item&gt;3084&lt;/item&gt;&lt;item&gt;3086&lt;/item&gt;&lt;item&gt;3087&lt;/item&gt;&lt;item&gt;3088&lt;/item&gt;&lt;/record-ids&gt;&lt;/item&gt;&lt;/Libraries&gt;"/>
  </w:docVars>
  <w:rsids>
    <w:rsidRoot w:val="00616DE9"/>
    <w:rsid w:val="00003644"/>
    <w:rsid w:val="0000442E"/>
    <w:rsid w:val="000059AD"/>
    <w:rsid w:val="00016FA9"/>
    <w:rsid w:val="00021A0D"/>
    <w:rsid w:val="00027A18"/>
    <w:rsid w:val="000504F8"/>
    <w:rsid w:val="00065DFE"/>
    <w:rsid w:val="000719A9"/>
    <w:rsid w:val="00073367"/>
    <w:rsid w:val="000761C9"/>
    <w:rsid w:val="00080246"/>
    <w:rsid w:val="000816D9"/>
    <w:rsid w:val="00086924"/>
    <w:rsid w:val="000A732A"/>
    <w:rsid w:val="000A7C45"/>
    <w:rsid w:val="000B1F66"/>
    <w:rsid w:val="000C2D2D"/>
    <w:rsid w:val="000C612A"/>
    <w:rsid w:val="000C68F9"/>
    <w:rsid w:val="000D0820"/>
    <w:rsid w:val="000E090F"/>
    <w:rsid w:val="000E7B1A"/>
    <w:rsid w:val="000E7B5C"/>
    <w:rsid w:val="00103CFB"/>
    <w:rsid w:val="00106D6E"/>
    <w:rsid w:val="00114EF8"/>
    <w:rsid w:val="00125ADD"/>
    <w:rsid w:val="00144325"/>
    <w:rsid w:val="00144B32"/>
    <w:rsid w:val="00152EA6"/>
    <w:rsid w:val="0015359C"/>
    <w:rsid w:val="00153B4A"/>
    <w:rsid w:val="00181B01"/>
    <w:rsid w:val="001956E6"/>
    <w:rsid w:val="00195B67"/>
    <w:rsid w:val="00197C21"/>
    <w:rsid w:val="001C6EF9"/>
    <w:rsid w:val="001C7D2C"/>
    <w:rsid w:val="001D7CB1"/>
    <w:rsid w:val="001E41E0"/>
    <w:rsid w:val="002035E7"/>
    <w:rsid w:val="00203AA4"/>
    <w:rsid w:val="00214B0C"/>
    <w:rsid w:val="002227C9"/>
    <w:rsid w:val="002245D0"/>
    <w:rsid w:val="00225EB6"/>
    <w:rsid w:val="00227799"/>
    <w:rsid w:val="00237CF9"/>
    <w:rsid w:val="002570F5"/>
    <w:rsid w:val="002609BC"/>
    <w:rsid w:val="00262DA1"/>
    <w:rsid w:val="00270EE4"/>
    <w:rsid w:val="00274FC1"/>
    <w:rsid w:val="002762EB"/>
    <w:rsid w:val="0027745F"/>
    <w:rsid w:val="002851E2"/>
    <w:rsid w:val="00286F44"/>
    <w:rsid w:val="00297502"/>
    <w:rsid w:val="002B0BDD"/>
    <w:rsid w:val="002B309D"/>
    <w:rsid w:val="002B7B3E"/>
    <w:rsid w:val="002C5FE1"/>
    <w:rsid w:val="002D7422"/>
    <w:rsid w:val="002E2F41"/>
    <w:rsid w:val="002F3F65"/>
    <w:rsid w:val="002F4B1C"/>
    <w:rsid w:val="002F7023"/>
    <w:rsid w:val="00303EC9"/>
    <w:rsid w:val="00312E13"/>
    <w:rsid w:val="00317777"/>
    <w:rsid w:val="0033236E"/>
    <w:rsid w:val="003323D2"/>
    <w:rsid w:val="003341AD"/>
    <w:rsid w:val="00346199"/>
    <w:rsid w:val="0035057B"/>
    <w:rsid w:val="0035313C"/>
    <w:rsid w:val="00363031"/>
    <w:rsid w:val="0037305B"/>
    <w:rsid w:val="00374E7A"/>
    <w:rsid w:val="003757E8"/>
    <w:rsid w:val="003763DB"/>
    <w:rsid w:val="00377704"/>
    <w:rsid w:val="00386E11"/>
    <w:rsid w:val="00396119"/>
    <w:rsid w:val="00396F1E"/>
    <w:rsid w:val="003A31D1"/>
    <w:rsid w:val="003A3D07"/>
    <w:rsid w:val="003B10C4"/>
    <w:rsid w:val="003B7B1E"/>
    <w:rsid w:val="003C0575"/>
    <w:rsid w:val="003C095A"/>
    <w:rsid w:val="003C4561"/>
    <w:rsid w:val="003C6728"/>
    <w:rsid w:val="003E0D25"/>
    <w:rsid w:val="003E327F"/>
    <w:rsid w:val="003F036A"/>
    <w:rsid w:val="003F1B53"/>
    <w:rsid w:val="003F4C1D"/>
    <w:rsid w:val="003F749E"/>
    <w:rsid w:val="00400C7D"/>
    <w:rsid w:val="00402234"/>
    <w:rsid w:val="004044C3"/>
    <w:rsid w:val="004048D4"/>
    <w:rsid w:val="0041190F"/>
    <w:rsid w:val="004140CA"/>
    <w:rsid w:val="00432D95"/>
    <w:rsid w:val="004332B7"/>
    <w:rsid w:val="004605FB"/>
    <w:rsid w:val="00460FB8"/>
    <w:rsid w:val="0046691A"/>
    <w:rsid w:val="00472F69"/>
    <w:rsid w:val="00475E8D"/>
    <w:rsid w:val="00481FCB"/>
    <w:rsid w:val="0048556A"/>
    <w:rsid w:val="004874E0"/>
    <w:rsid w:val="0049195C"/>
    <w:rsid w:val="004960F9"/>
    <w:rsid w:val="004A32A1"/>
    <w:rsid w:val="004A3EE2"/>
    <w:rsid w:val="004A3F82"/>
    <w:rsid w:val="004B260A"/>
    <w:rsid w:val="004C64C0"/>
    <w:rsid w:val="004C652C"/>
    <w:rsid w:val="004D0392"/>
    <w:rsid w:val="004D1562"/>
    <w:rsid w:val="004E53DB"/>
    <w:rsid w:val="004F0491"/>
    <w:rsid w:val="004F1DD7"/>
    <w:rsid w:val="004F6563"/>
    <w:rsid w:val="00511FB9"/>
    <w:rsid w:val="005153D2"/>
    <w:rsid w:val="005172F7"/>
    <w:rsid w:val="0052470E"/>
    <w:rsid w:val="00525A91"/>
    <w:rsid w:val="00571234"/>
    <w:rsid w:val="005729F1"/>
    <w:rsid w:val="00573A24"/>
    <w:rsid w:val="005844EB"/>
    <w:rsid w:val="0058493C"/>
    <w:rsid w:val="00585F52"/>
    <w:rsid w:val="005917F7"/>
    <w:rsid w:val="00594CCA"/>
    <w:rsid w:val="00595A57"/>
    <w:rsid w:val="005A787F"/>
    <w:rsid w:val="005B7AEC"/>
    <w:rsid w:val="005D04E8"/>
    <w:rsid w:val="005E4283"/>
    <w:rsid w:val="00602879"/>
    <w:rsid w:val="006029FB"/>
    <w:rsid w:val="00603052"/>
    <w:rsid w:val="00607E70"/>
    <w:rsid w:val="006101BE"/>
    <w:rsid w:val="00616DE9"/>
    <w:rsid w:val="0062135E"/>
    <w:rsid w:val="0065300E"/>
    <w:rsid w:val="006552FC"/>
    <w:rsid w:val="00655810"/>
    <w:rsid w:val="00660BC6"/>
    <w:rsid w:val="00675779"/>
    <w:rsid w:val="006818D3"/>
    <w:rsid w:val="00696DF3"/>
    <w:rsid w:val="00697EB5"/>
    <w:rsid w:val="006A0447"/>
    <w:rsid w:val="006A1F45"/>
    <w:rsid w:val="006B2331"/>
    <w:rsid w:val="006B3E75"/>
    <w:rsid w:val="006B6D08"/>
    <w:rsid w:val="006B7865"/>
    <w:rsid w:val="006B7B8E"/>
    <w:rsid w:val="006C1784"/>
    <w:rsid w:val="006D48EF"/>
    <w:rsid w:val="006E162D"/>
    <w:rsid w:val="006F25EA"/>
    <w:rsid w:val="00716E9F"/>
    <w:rsid w:val="00721350"/>
    <w:rsid w:val="00737F89"/>
    <w:rsid w:val="007428B6"/>
    <w:rsid w:val="00766CC6"/>
    <w:rsid w:val="00782EA2"/>
    <w:rsid w:val="00786F69"/>
    <w:rsid w:val="00793AA5"/>
    <w:rsid w:val="007A19F8"/>
    <w:rsid w:val="007B53A8"/>
    <w:rsid w:val="007B60CB"/>
    <w:rsid w:val="007C30A4"/>
    <w:rsid w:val="007D511C"/>
    <w:rsid w:val="007E00BB"/>
    <w:rsid w:val="007E467F"/>
    <w:rsid w:val="007F33D9"/>
    <w:rsid w:val="008006CA"/>
    <w:rsid w:val="008121E6"/>
    <w:rsid w:val="0081479E"/>
    <w:rsid w:val="008167CB"/>
    <w:rsid w:val="00823ACE"/>
    <w:rsid w:val="008338D7"/>
    <w:rsid w:val="00833AB2"/>
    <w:rsid w:val="00834D37"/>
    <w:rsid w:val="00846D9D"/>
    <w:rsid w:val="008629F8"/>
    <w:rsid w:val="00864C0D"/>
    <w:rsid w:val="00873A81"/>
    <w:rsid w:val="008760E0"/>
    <w:rsid w:val="008867FB"/>
    <w:rsid w:val="00896374"/>
    <w:rsid w:val="008A7CDA"/>
    <w:rsid w:val="008B68B4"/>
    <w:rsid w:val="008C20E0"/>
    <w:rsid w:val="008E3EC6"/>
    <w:rsid w:val="008E6254"/>
    <w:rsid w:val="008E70CE"/>
    <w:rsid w:val="008F18DF"/>
    <w:rsid w:val="008F2D77"/>
    <w:rsid w:val="008F417A"/>
    <w:rsid w:val="008F4D58"/>
    <w:rsid w:val="00900DCD"/>
    <w:rsid w:val="00903EF6"/>
    <w:rsid w:val="0090491F"/>
    <w:rsid w:val="009061F4"/>
    <w:rsid w:val="00914FC5"/>
    <w:rsid w:val="0092699E"/>
    <w:rsid w:val="00927478"/>
    <w:rsid w:val="009274E5"/>
    <w:rsid w:val="00930C65"/>
    <w:rsid w:val="00954FBA"/>
    <w:rsid w:val="00970010"/>
    <w:rsid w:val="00976880"/>
    <w:rsid w:val="00977E21"/>
    <w:rsid w:val="00981E5F"/>
    <w:rsid w:val="009820D1"/>
    <w:rsid w:val="00983BBD"/>
    <w:rsid w:val="00991383"/>
    <w:rsid w:val="009B3CBF"/>
    <w:rsid w:val="009C4250"/>
    <w:rsid w:val="009D22AC"/>
    <w:rsid w:val="009D5D45"/>
    <w:rsid w:val="009D6169"/>
    <w:rsid w:val="009E08F8"/>
    <w:rsid w:val="009F3FF0"/>
    <w:rsid w:val="009F71AC"/>
    <w:rsid w:val="009F7B40"/>
    <w:rsid w:val="00A00E3B"/>
    <w:rsid w:val="00A123BA"/>
    <w:rsid w:val="00A16B3F"/>
    <w:rsid w:val="00A17EAA"/>
    <w:rsid w:val="00A24C62"/>
    <w:rsid w:val="00A272EB"/>
    <w:rsid w:val="00A4210A"/>
    <w:rsid w:val="00A51ED8"/>
    <w:rsid w:val="00A6231E"/>
    <w:rsid w:val="00A856D1"/>
    <w:rsid w:val="00A879B3"/>
    <w:rsid w:val="00A960AB"/>
    <w:rsid w:val="00AA09F3"/>
    <w:rsid w:val="00AB728A"/>
    <w:rsid w:val="00AC6658"/>
    <w:rsid w:val="00AD077A"/>
    <w:rsid w:val="00AD4F5B"/>
    <w:rsid w:val="00AE20D4"/>
    <w:rsid w:val="00AE5265"/>
    <w:rsid w:val="00AE5AEA"/>
    <w:rsid w:val="00AF4C8E"/>
    <w:rsid w:val="00AF4E66"/>
    <w:rsid w:val="00AF584D"/>
    <w:rsid w:val="00B01029"/>
    <w:rsid w:val="00B10E1D"/>
    <w:rsid w:val="00B11A34"/>
    <w:rsid w:val="00B16C23"/>
    <w:rsid w:val="00B40E8F"/>
    <w:rsid w:val="00B50575"/>
    <w:rsid w:val="00B547E9"/>
    <w:rsid w:val="00B555AC"/>
    <w:rsid w:val="00B64B04"/>
    <w:rsid w:val="00B66A5E"/>
    <w:rsid w:val="00B77E7C"/>
    <w:rsid w:val="00B837FF"/>
    <w:rsid w:val="00B87D7C"/>
    <w:rsid w:val="00B9288E"/>
    <w:rsid w:val="00B9420C"/>
    <w:rsid w:val="00BC134D"/>
    <w:rsid w:val="00BC1B36"/>
    <w:rsid w:val="00BC545F"/>
    <w:rsid w:val="00BE3BB3"/>
    <w:rsid w:val="00BE3F28"/>
    <w:rsid w:val="00BF1F9D"/>
    <w:rsid w:val="00C220D1"/>
    <w:rsid w:val="00C6099A"/>
    <w:rsid w:val="00C65953"/>
    <w:rsid w:val="00C7062B"/>
    <w:rsid w:val="00C70A1F"/>
    <w:rsid w:val="00C74D2C"/>
    <w:rsid w:val="00C77436"/>
    <w:rsid w:val="00C86467"/>
    <w:rsid w:val="00C937A0"/>
    <w:rsid w:val="00C95F4B"/>
    <w:rsid w:val="00CB4205"/>
    <w:rsid w:val="00CC24F3"/>
    <w:rsid w:val="00CC5F60"/>
    <w:rsid w:val="00CD3644"/>
    <w:rsid w:val="00CD38DE"/>
    <w:rsid w:val="00CD4EC6"/>
    <w:rsid w:val="00CD79E6"/>
    <w:rsid w:val="00CE0370"/>
    <w:rsid w:val="00CE200A"/>
    <w:rsid w:val="00CE5002"/>
    <w:rsid w:val="00CE50A3"/>
    <w:rsid w:val="00CF145B"/>
    <w:rsid w:val="00CF660E"/>
    <w:rsid w:val="00D02AAF"/>
    <w:rsid w:val="00D02D56"/>
    <w:rsid w:val="00D1667C"/>
    <w:rsid w:val="00D16C70"/>
    <w:rsid w:val="00D17ADD"/>
    <w:rsid w:val="00D30A1C"/>
    <w:rsid w:val="00D34883"/>
    <w:rsid w:val="00D408EE"/>
    <w:rsid w:val="00D55070"/>
    <w:rsid w:val="00D626AD"/>
    <w:rsid w:val="00D6754E"/>
    <w:rsid w:val="00D70944"/>
    <w:rsid w:val="00D7688E"/>
    <w:rsid w:val="00D91910"/>
    <w:rsid w:val="00D9359A"/>
    <w:rsid w:val="00DC4BDC"/>
    <w:rsid w:val="00DC6878"/>
    <w:rsid w:val="00DC6D80"/>
    <w:rsid w:val="00DD2EC0"/>
    <w:rsid w:val="00DE0B15"/>
    <w:rsid w:val="00DF2645"/>
    <w:rsid w:val="00E03E83"/>
    <w:rsid w:val="00E1328E"/>
    <w:rsid w:val="00E42041"/>
    <w:rsid w:val="00E563B0"/>
    <w:rsid w:val="00E62444"/>
    <w:rsid w:val="00E7227A"/>
    <w:rsid w:val="00E8087A"/>
    <w:rsid w:val="00E90246"/>
    <w:rsid w:val="00E91572"/>
    <w:rsid w:val="00EA0ADB"/>
    <w:rsid w:val="00EC1E3C"/>
    <w:rsid w:val="00EE1081"/>
    <w:rsid w:val="00EF316F"/>
    <w:rsid w:val="00F0474A"/>
    <w:rsid w:val="00F213E3"/>
    <w:rsid w:val="00F23FB1"/>
    <w:rsid w:val="00F25B4C"/>
    <w:rsid w:val="00F33B56"/>
    <w:rsid w:val="00F442F2"/>
    <w:rsid w:val="00F52167"/>
    <w:rsid w:val="00F53B9D"/>
    <w:rsid w:val="00F6186A"/>
    <w:rsid w:val="00F669AB"/>
    <w:rsid w:val="00F7337F"/>
    <w:rsid w:val="00F743C3"/>
    <w:rsid w:val="00F819C5"/>
    <w:rsid w:val="00F851D9"/>
    <w:rsid w:val="00F95523"/>
    <w:rsid w:val="00F9569E"/>
    <w:rsid w:val="00F961F6"/>
    <w:rsid w:val="00F97E00"/>
    <w:rsid w:val="00FA6715"/>
    <w:rsid w:val="00FA6DCD"/>
    <w:rsid w:val="00FB3DFA"/>
    <w:rsid w:val="00FC1C71"/>
    <w:rsid w:val="00FD3638"/>
    <w:rsid w:val="00FD5330"/>
    <w:rsid w:val="00FE612E"/>
    <w:rsid w:val="00FF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3B0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35E7"/>
  </w:style>
  <w:style w:type="paragraph" w:styleId="Heading1">
    <w:name w:val="heading 1"/>
    <w:basedOn w:val="Normal"/>
    <w:next w:val="Normal"/>
    <w:link w:val="Heading1Char"/>
    <w:uiPriority w:val="9"/>
    <w:qFormat/>
    <w:rsid w:val="003461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F44"/>
    <w:pPr>
      <w:keepNext/>
      <w:keepLines/>
      <w:spacing w:before="40"/>
      <w:jc w:val="both"/>
      <w:outlineLvl w:val="1"/>
    </w:pPr>
    <w:rPr>
      <w:rFonts w:ascii="Arial" w:eastAsiaTheme="majorEastAsia" w:hAnsi="Arial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B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6199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F44"/>
    <w:rPr>
      <w:rFonts w:ascii="Arial" w:eastAsiaTheme="majorEastAsia" w:hAnsi="Arial" w:cstheme="majorBidi"/>
      <w:color w:val="000000" w:themeColor="text1"/>
      <w:szCs w:val="26"/>
    </w:rPr>
  </w:style>
  <w:style w:type="paragraph" w:styleId="NoSpacing">
    <w:name w:val="No Spacing"/>
    <w:uiPriority w:val="1"/>
    <w:qFormat/>
    <w:rsid w:val="00DE0B15"/>
  </w:style>
  <w:style w:type="paragraph" w:customStyle="1" w:styleId="EndNoteBibliographyTitle">
    <w:name w:val="EndNote Bibliography Title"/>
    <w:basedOn w:val="Normal"/>
    <w:rsid w:val="00511FB9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511FB9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4048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48D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E20D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A732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692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692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692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692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69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92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924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19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19F8"/>
  </w:style>
  <w:style w:type="paragraph" w:styleId="Footer">
    <w:name w:val="footer"/>
    <w:basedOn w:val="Normal"/>
    <w:link w:val="FooterChar"/>
    <w:uiPriority w:val="99"/>
    <w:unhideWhenUsed/>
    <w:rsid w:val="007A19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9F8"/>
  </w:style>
  <w:style w:type="paragraph" w:styleId="Revision">
    <w:name w:val="Revision"/>
    <w:hidden/>
    <w:uiPriority w:val="99"/>
    <w:semiHidden/>
    <w:rsid w:val="007A19F8"/>
  </w:style>
  <w:style w:type="paragraph" w:styleId="DocumentMap">
    <w:name w:val="Document Map"/>
    <w:basedOn w:val="Normal"/>
    <w:link w:val="DocumentMapChar"/>
    <w:uiPriority w:val="99"/>
    <w:semiHidden/>
    <w:unhideWhenUsed/>
    <w:rsid w:val="007A19F8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A19F8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7A19F8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7A19F8"/>
  </w:style>
  <w:style w:type="character" w:styleId="PageNumber">
    <w:name w:val="page number"/>
    <w:basedOn w:val="DefaultParagraphFont"/>
    <w:uiPriority w:val="99"/>
    <w:semiHidden/>
    <w:unhideWhenUsed/>
    <w:rsid w:val="007A1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2802</Words>
  <Characters>15973</Characters>
  <Application>Microsoft Macintosh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2017-10-12T18:28:00Z</dcterms:created>
  <dcterms:modified xsi:type="dcterms:W3CDTF">2017-10-22T21:16:00Z</dcterms:modified>
</cp:coreProperties>
</file>