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844" w:rsidRDefault="00257BC5" w:rsidP="00F078FE">
      <w:r>
        <w:t xml:space="preserve">Abstract: </w:t>
      </w:r>
      <w:r w:rsidR="00F078FE">
        <w:t>In this paper the</w:t>
      </w:r>
      <w:r w:rsidR="0095447C">
        <w:t xml:space="preserve"> impact of</w:t>
      </w:r>
      <w:r w:rsidR="00422809" w:rsidRPr="00422809">
        <w:t xml:space="preserve"> </w:t>
      </w:r>
      <w:r w:rsidR="00422809">
        <w:t>Eurasian</w:t>
      </w:r>
      <w:r w:rsidR="0095447C">
        <w:t xml:space="preserve"> </w:t>
      </w:r>
      <w:r w:rsidR="0095447C" w:rsidRPr="00422809">
        <w:rPr>
          <w:color w:val="000000" w:themeColor="text1"/>
        </w:rPr>
        <w:t>Custom</w:t>
      </w:r>
      <w:r w:rsidR="00422809" w:rsidRPr="00422809">
        <w:rPr>
          <w:color w:val="000000" w:themeColor="text1"/>
        </w:rPr>
        <w:t>s</w:t>
      </w:r>
      <w:r w:rsidR="0095447C" w:rsidRPr="00422809">
        <w:rPr>
          <w:color w:val="000000" w:themeColor="text1"/>
        </w:rPr>
        <w:t xml:space="preserve"> Union</w:t>
      </w:r>
      <w:r w:rsidR="00BE16B7">
        <w:rPr>
          <w:rFonts w:hint="eastAsia"/>
          <w:color w:val="000000" w:themeColor="text1"/>
        </w:rPr>
        <w:t xml:space="preserve"> </w:t>
      </w:r>
      <w:r w:rsidR="00BE16B7">
        <w:rPr>
          <w:color w:val="000000" w:themeColor="text1"/>
        </w:rPr>
        <w:t>on trade</w:t>
      </w:r>
      <w:r w:rsidR="0095447C" w:rsidRPr="00422809">
        <w:rPr>
          <w:color w:val="000000" w:themeColor="text1"/>
        </w:rPr>
        <w:t xml:space="preserve"> </w:t>
      </w:r>
      <w:r w:rsidR="0095447C">
        <w:t>between</w:t>
      </w:r>
      <w:r w:rsidR="00290882">
        <w:t xml:space="preserve"> Russia, Belarus and</w:t>
      </w:r>
      <w:r w:rsidR="00F078FE">
        <w:t xml:space="preserve"> Kazakhstan </w:t>
      </w:r>
      <w:r w:rsidR="00BE16B7">
        <w:t>is analyzed</w:t>
      </w:r>
      <w:r w:rsidR="00F078FE">
        <w:t xml:space="preserve">. </w:t>
      </w:r>
      <w:r w:rsidR="00BE16B7">
        <w:t>T</w:t>
      </w:r>
      <w:r w:rsidR="00290882">
        <w:t xml:space="preserve">wo main sources of </w:t>
      </w:r>
      <w:r w:rsidR="00BE16B7">
        <w:t>data</w:t>
      </w:r>
      <w:r w:rsidR="00F078FE">
        <w:t xml:space="preserve"> were applied:</w:t>
      </w:r>
      <w:r w:rsidR="00290882">
        <w:t xml:space="preserve"> EEU analytical survey</w:t>
      </w:r>
      <w:r w:rsidR="00F078FE">
        <w:t>s and CIS trade data</w:t>
      </w:r>
      <w:r w:rsidR="00BE16B7">
        <w:t>,</w:t>
      </w:r>
      <w:r w:rsidR="00F078FE">
        <w:t xml:space="preserve"> which </w:t>
      </w:r>
      <w:r w:rsidR="00BE16B7">
        <w:t>is</w:t>
      </w:r>
      <w:r w:rsidR="00F078FE">
        <w:t xml:space="preserve"> used</w:t>
      </w:r>
      <w:r w:rsidR="00290882">
        <w:t xml:space="preserve"> for </w:t>
      </w:r>
      <w:r w:rsidR="00F078FE">
        <w:t xml:space="preserve">econometrical analysis. The main finding </w:t>
      </w:r>
      <w:r w:rsidR="00290882">
        <w:t xml:space="preserve">is that influence </w:t>
      </w:r>
      <w:r w:rsidR="00290882" w:rsidRPr="00422809">
        <w:rPr>
          <w:color w:val="000000" w:themeColor="text1"/>
        </w:rPr>
        <w:t>of</w:t>
      </w:r>
      <w:r w:rsidR="00422809" w:rsidRPr="00422809">
        <w:rPr>
          <w:color w:val="000000" w:themeColor="text1"/>
        </w:rPr>
        <w:t xml:space="preserve"> the</w:t>
      </w:r>
      <w:r w:rsidR="00290882" w:rsidRPr="00422809">
        <w:rPr>
          <w:color w:val="000000" w:themeColor="text1"/>
        </w:rPr>
        <w:t xml:space="preserve"> Custom</w:t>
      </w:r>
      <w:r w:rsidR="00422809" w:rsidRPr="00422809">
        <w:rPr>
          <w:color w:val="000000" w:themeColor="text1"/>
        </w:rPr>
        <w:t>s</w:t>
      </w:r>
      <w:r w:rsidR="00290882" w:rsidRPr="00422809">
        <w:rPr>
          <w:color w:val="000000" w:themeColor="text1"/>
        </w:rPr>
        <w:t xml:space="preserve"> Union </w:t>
      </w:r>
      <w:r w:rsidR="00F078FE">
        <w:t>on trade has been</w:t>
      </w:r>
      <w:r w:rsidR="00290882">
        <w:t xml:space="preserve"> insignificant. </w:t>
      </w:r>
    </w:p>
    <w:p w:rsidR="0095447C" w:rsidRDefault="00290882">
      <w:r>
        <w:t xml:space="preserve">Key words: </w:t>
      </w:r>
    </w:p>
    <w:p w:rsidR="007E3BCA" w:rsidRPr="007003C7" w:rsidRDefault="00422809">
      <w:r>
        <w:rPr>
          <w:color w:val="000000" w:themeColor="text1"/>
        </w:rPr>
        <w:t>Eurasian C</w:t>
      </w:r>
      <w:r w:rsidR="007E3BCA" w:rsidRPr="00422809">
        <w:rPr>
          <w:color w:val="000000" w:themeColor="text1"/>
        </w:rPr>
        <w:t>ustom</w:t>
      </w:r>
      <w:r w:rsidR="00F078FE" w:rsidRPr="00422809">
        <w:rPr>
          <w:color w:val="000000" w:themeColor="text1"/>
        </w:rPr>
        <w:t>s</w:t>
      </w:r>
      <w:r>
        <w:rPr>
          <w:color w:val="000000" w:themeColor="text1"/>
        </w:rPr>
        <w:t xml:space="preserve"> U</w:t>
      </w:r>
      <w:r w:rsidR="007003C7" w:rsidRPr="00422809">
        <w:rPr>
          <w:color w:val="000000" w:themeColor="text1"/>
        </w:rPr>
        <w:t>nion</w:t>
      </w:r>
      <w:r w:rsidR="00F078FE">
        <w:t>, Eurasian Economic U</w:t>
      </w:r>
      <w:r w:rsidR="007003C7">
        <w:t>nion, custom</w:t>
      </w:r>
      <w:r w:rsidR="00F078FE">
        <w:t>s</w:t>
      </w:r>
      <w:r w:rsidR="007003C7">
        <w:t xml:space="preserve"> union</w:t>
      </w:r>
      <w:r w:rsidR="00F078FE">
        <w:t>s</w:t>
      </w:r>
      <w:r w:rsidR="007003C7">
        <w:t xml:space="preserve"> effect on trade</w:t>
      </w:r>
    </w:p>
    <w:p w:rsidR="00EC6034" w:rsidRPr="00290882" w:rsidRDefault="00EC6034">
      <w:pPr>
        <w:rPr>
          <w:b/>
        </w:rPr>
      </w:pPr>
      <w:r w:rsidRPr="00290882">
        <w:rPr>
          <w:b/>
        </w:rPr>
        <w:t>Introduction</w:t>
      </w:r>
    </w:p>
    <w:p w:rsidR="00257BC5" w:rsidRPr="00B34EFB" w:rsidRDefault="00257BC5">
      <w:pPr>
        <w:rPr>
          <w:color w:val="FF0000"/>
        </w:rPr>
      </w:pPr>
      <w:r>
        <w:t>Current integr</w:t>
      </w:r>
      <w:r w:rsidR="00BE16B7">
        <w:t>ation project is the third</w:t>
      </w:r>
      <w:r w:rsidR="00F078FE">
        <w:t xml:space="preserve"> i</w:t>
      </w:r>
      <w:r>
        <w:t>n</w:t>
      </w:r>
      <w:r w:rsidR="00BE16B7">
        <w:t xml:space="preserve"> the</w:t>
      </w:r>
      <w:r>
        <w:t xml:space="preserve"> Post-Soviet area, but unlike</w:t>
      </w:r>
      <w:r w:rsidR="00C112A3" w:rsidRPr="00C112A3">
        <w:t xml:space="preserve"> </w:t>
      </w:r>
      <w:r w:rsidR="00C112A3">
        <w:t>earlier</w:t>
      </w:r>
      <w:r>
        <w:t xml:space="preserve"> projects</w:t>
      </w:r>
      <w:r w:rsidR="00BE16B7">
        <w:t xml:space="preserve"> this</w:t>
      </w:r>
      <w:r w:rsidR="00C112A3">
        <w:t xml:space="preserve"> one is </w:t>
      </w:r>
      <w:r w:rsidR="00BE16B7">
        <w:t>relatively successful</w:t>
      </w:r>
      <w:r>
        <w:t xml:space="preserve">. Russia, Belarus </w:t>
      </w:r>
      <w:r w:rsidR="00F078FE">
        <w:t>and Kazakhstan established</w:t>
      </w:r>
      <w:r w:rsidR="00422809">
        <w:t xml:space="preserve"> the Eurasian C</w:t>
      </w:r>
      <w:r>
        <w:t>ustom</w:t>
      </w:r>
      <w:r w:rsidR="00F078FE">
        <w:t>s</w:t>
      </w:r>
      <w:r w:rsidR="00422809">
        <w:t xml:space="preserve"> U</w:t>
      </w:r>
      <w:r>
        <w:t>nion</w:t>
      </w:r>
      <w:r w:rsidR="00422809">
        <w:t xml:space="preserve"> (EACU)</w:t>
      </w:r>
      <w:r>
        <w:t xml:space="preserve"> in 2011, and upgraded it to</w:t>
      </w:r>
      <w:r w:rsidR="00422809">
        <w:t xml:space="preserve"> the Eurasian</w:t>
      </w:r>
      <w:r>
        <w:t xml:space="preserve"> </w:t>
      </w:r>
      <w:r w:rsidR="00422809">
        <w:t>Economic U</w:t>
      </w:r>
      <w:r>
        <w:t>nion</w:t>
      </w:r>
      <w:r w:rsidR="00422809">
        <w:t xml:space="preserve"> (EAEU)</w:t>
      </w:r>
      <w:r>
        <w:t xml:space="preserve"> in </w:t>
      </w:r>
      <w:r w:rsidR="00BE16B7">
        <w:t>2015;</w:t>
      </w:r>
      <w:r>
        <w:t xml:space="preserve"> two new members, Armenia and Kyrgyzstan joined </w:t>
      </w:r>
      <w:r w:rsidR="00B34EFB">
        <w:t>the U</w:t>
      </w:r>
      <w:r>
        <w:t>nion</w:t>
      </w:r>
      <w:r w:rsidR="00B34EFB">
        <w:t xml:space="preserve"> the </w:t>
      </w:r>
      <w:r>
        <w:t>same year. Thus, thi</w:t>
      </w:r>
      <w:r w:rsidR="00B34EFB">
        <w:t>s integration project had been developing rapidly, and now it</w:t>
      </w:r>
      <w:r>
        <w:t xml:space="preserve"> include</w:t>
      </w:r>
      <w:r w:rsidR="00B34EFB">
        <w:t>s</w:t>
      </w:r>
      <w:r>
        <w:t xml:space="preserve"> five countries and</w:t>
      </w:r>
      <w:r w:rsidR="00B34EFB">
        <w:t xml:space="preserve"> has beco</w:t>
      </w:r>
      <w:r>
        <w:t>me the second economic u</w:t>
      </w:r>
      <w:r w:rsidR="00B34EFB">
        <w:t>nion in the world after EU</w:t>
      </w:r>
      <w:r>
        <w:t>. C</w:t>
      </w:r>
      <w:r w:rsidR="00B34EFB">
        <w:t>ountries in the U</w:t>
      </w:r>
      <w:r w:rsidR="003223CB">
        <w:t xml:space="preserve">nion </w:t>
      </w:r>
      <w:r w:rsidR="00B34EFB">
        <w:t xml:space="preserve">have formed a number of </w:t>
      </w:r>
      <w:r w:rsidR="00422809">
        <w:t>institutions;</w:t>
      </w:r>
      <w:r>
        <w:t xml:space="preserve"> </w:t>
      </w:r>
      <w:r w:rsidR="00B34EFB">
        <w:t xml:space="preserve">among </w:t>
      </w:r>
      <w:r w:rsidR="00BE16B7">
        <w:t>them</w:t>
      </w:r>
      <w:r>
        <w:t xml:space="preserve"> is</w:t>
      </w:r>
      <w:r w:rsidR="00422809">
        <w:t xml:space="preserve"> the</w:t>
      </w:r>
      <w:r>
        <w:t xml:space="preserve"> </w:t>
      </w:r>
      <w:r w:rsidR="00B34EFB" w:rsidRPr="00422809">
        <w:rPr>
          <w:color w:val="000000" w:themeColor="text1"/>
        </w:rPr>
        <w:t>Eurasian Economic Commission</w:t>
      </w:r>
      <w:r w:rsidR="00BE16B7">
        <w:rPr>
          <w:color w:val="000000" w:themeColor="text1"/>
        </w:rPr>
        <w:t xml:space="preserve"> (EEC)</w:t>
      </w:r>
      <w:r w:rsidR="00BE16B7">
        <w:t xml:space="preserve">, </w:t>
      </w:r>
      <w:r w:rsidR="00B34EFB">
        <w:t>an executive body of the U</w:t>
      </w:r>
      <w:r w:rsidR="006357FA">
        <w:t>nion</w:t>
      </w:r>
      <w:r w:rsidR="00BE16B7">
        <w:t>, is the most important</w:t>
      </w:r>
      <w:r w:rsidR="006357FA">
        <w:t>. Also, to promote</w:t>
      </w:r>
      <w:r w:rsidR="00BE16B7">
        <w:t xml:space="preserve"> the</w:t>
      </w:r>
      <w:r w:rsidR="006357FA">
        <w:t xml:space="preserve"> countries economic development, integration and cross-border projects</w:t>
      </w:r>
      <w:r w:rsidR="00B34EFB">
        <w:t>, the</w:t>
      </w:r>
      <w:r w:rsidR="006357FA">
        <w:t xml:space="preserve"> countries</w:t>
      </w:r>
      <w:r w:rsidR="00B34EFB">
        <w:t xml:space="preserve"> have</w:t>
      </w:r>
      <w:r w:rsidR="006357FA">
        <w:t xml:space="preserve"> established</w:t>
      </w:r>
      <w:r w:rsidR="00422809">
        <w:t xml:space="preserve"> the</w:t>
      </w:r>
      <w:r w:rsidR="006357FA">
        <w:t xml:space="preserve"> </w:t>
      </w:r>
      <w:r w:rsidR="006357FA" w:rsidRPr="00422809">
        <w:rPr>
          <w:color w:val="000000" w:themeColor="text1"/>
        </w:rPr>
        <w:t>Eurasian Development Bank</w:t>
      </w:r>
      <w:r w:rsidR="00BC4372">
        <w:rPr>
          <w:color w:val="000000" w:themeColor="text1"/>
        </w:rPr>
        <w:t xml:space="preserve"> (EADB)</w:t>
      </w:r>
      <w:r w:rsidR="006357FA" w:rsidRPr="00422809">
        <w:rPr>
          <w:color w:val="000000" w:themeColor="text1"/>
        </w:rPr>
        <w:t>.</w:t>
      </w:r>
    </w:p>
    <w:p w:rsidR="006357FA" w:rsidRPr="00257BC5" w:rsidRDefault="00B34EFB">
      <w:r>
        <w:t>At</w:t>
      </w:r>
      <w:r w:rsidR="006357FA">
        <w:t xml:space="preserve"> the same time, </w:t>
      </w:r>
      <w:r>
        <w:t>the real effect of the Union on member countries’</w:t>
      </w:r>
      <w:r w:rsidR="006357FA">
        <w:t xml:space="preserve"> economies is </w:t>
      </w:r>
      <w:r w:rsidR="00BE16B7">
        <w:t>debatable</w:t>
      </w:r>
      <w:r>
        <w:t xml:space="preserve">. Many experts claim </w:t>
      </w:r>
      <w:r w:rsidR="006357FA">
        <w:t>that curr</w:t>
      </w:r>
      <w:r>
        <w:t>ently EAEU is more</w:t>
      </w:r>
      <w:r w:rsidR="00BE16B7">
        <w:t xml:space="preserve"> a</w:t>
      </w:r>
      <w:r>
        <w:t xml:space="preserve"> political tha</w:t>
      </w:r>
      <w:r w:rsidR="006357FA">
        <w:t>n economical initiative, and</w:t>
      </w:r>
      <w:r w:rsidR="00BE16B7">
        <w:t xml:space="preserve"> by</w:t>
      </w:r>
      <w:r w:rsidR="006357FA">
        <w:t xml:space="preserve"> developing it</w:t>
      </w:r>
      <w:r w:rsidR="00BE16B7">
        <w:t>,</w:t>
      </w:r>
      <w:r w:rsidR="006357FA">
        <w:t xml:space="preserve"> Russia want</w:t>
      </w:r>
      <w:r>
        <w:t>s</w:t>
      </w:r>
      <w:r w:rsidR="006357FA">
        <w:t xml:space="preserve"> to achieve mostly strategic goals, guarantee and strengthen its </w:t>
      </w:r>
      <w:r w:rsidR="00D464F8">
        <w:t>influence on</w:t>
      </w:r>
      <w:r>
        <w:t xml:space="preserve"> post-S</w:t>
      </w:r>
      <w:r w:rsidR="006357FA">
        <w:t>oviet space.</w:t>
      </w:r>
      <w:r w:rsidR="00D464F8">
        <w:t xml:space="preserve"> In fact, </w:t>
      </w:r>
      <w:r>
        <w:t xml:space="preserve">it is not possible to say </w:t>
      </w:r>
      <w:r w:rsidR="00D464F8">
        <w:t xml:space="preserve">for sure </w:t>
      </w:r>
      <w:r>
        <w:t xml:space="preserve">what </w:t>
      </w:r>
      <w:r w:rsidR="009D0CE9">
        <w:t>are the</w:t>
      </w:r>
      <w:r>
        <w:t xml:space="preserve"> true </w:t>
      </w:r>
      <w:r w:rsidR="00314BE2">
        <w:t>goal</w:t>
      </w:r>
      <w:r>
        <w:t>s</w:t>
      </w:r>
      <w:r w:rsidR="00314BE2">
        <w:t xml:space="preserve"> of </w:t>
      </w:r>
      <w:r w:rsidR="004B40CD">
        <w:t>politicians</w:t>
      </w:r>
      <w:r>
        <w:t xml:space="preserve"> who formed the Union were. It is more likely that the </w:t>
      </w:r>
      <w:r w:rsidR="00D464F8">
        <w:t>goals of different politicians from three countri</w:t>
      </w:r>
      <w:r w:rsidR="00E6173E">
        <w:t xml:space="preserve">es were different. But it is possible to </w:t>
      </w:r>
      <w:r w:rsidR="00D464F8">
        <w:t>ob</w:t>
      </w:r>
      <w:r w:rsidR="00E6173E">
        <w:t xml:space="preserve">serve and estimate the changes that the </w:t>
      </w:r>
      <w:r w:rsidR="00D464F8">
        <w:t xml:space="preserve">integration project </w:t>
      </w:r>
      <w:r w:rsidR="00E6173E">
        <w:t>has brought to its members. First of all,</w:t>
      </w:r>
      <w:r w:rsidR="00422809">
        <w:t xml:space="preserve"> the </w:t>
      </w:r>
      <w:r w:rsidR="00E6173E" w:rsidRPr="00422809">
        <w:rPr>
          <w:color w:val="000000" w:themeColor="text1"/>
        </w:rPr>
        <w:t>C</w:t>
      </w:r>
      <w:r w:rsidR="003F1C40" w:rsidRPr="00422809">
        <w:rPr>
          <w:color w:val="000000" w:themeColor="text1"/>
        </w:rPr>
        <w:t>ustom</w:t>
      </w:r>
      <w:r w:rsidR="00E6173E" w:rsidRPr="00422809">
        <w:rPr>
          <w:color w:val="000000" w:themeColor="text1"/>
        </w:rPr>
        <w:t>s U</w:t>
      </w:r>
      <w:r w:rsidR="003F1C40" w:rsidRPr="00422809">
        <w:rPr>
          <w:color w:val="000000" w:themeColor="text1"/>
        </w:rPr>
        <w:t>nion</w:t>
      </w:r>
      <w:r w:rsidR="003F1C40" w:rsidRPr="00E6173E">
        <w:rPr>
          <w:color w:val="FF0000"/>
        </w:rPr>
        <w:t xml:space="preserve"> </w:t>
      </w:r>
      <w:r w:rsidR="00E6173E">
        <w:t>was supposed to</w:t>
      </w:r>
      <w:r w:rsidR="003F1C40">
        <w:t xml:space="preserve"> influence </w:t>
      </w:r>
      <w:r w:rsidR="00E6173E">
        <w:t xml:space="preserve">the </w:t>
      </w:r>
      <w:r w:rsidR="003F1C40">
        <w:t xml:space="preserve">trade between member countries, and only after </w:t>
      </w:r>
      <w:r w:rsidR="004B40CD">
        <w:t>those changes</w:t>
      </w:r>
      <w:r w:rsidR="003F1C40">
        <w:t xml:space="preserve"> in</w:t>
      </w:r>
      <w:r w:rsidR="004B40CD">
        <w:t xml:space="preserve"> a</w:t>
      </w:r>
      <w:r w:rsidR="003F1C40">
        <w:t xml:space="preserve"> trade structure</w:t>
      </w:r>
      <w:r w:rsidR="00BE16B7">
        <w:t xml:space="preserve"> could</w:t>
      </w:r>
      <w:r w:rsidR="003F1C40">
        <w:t xml:space="preserve"> </w:t>
      </w:r>
      <w:r w:rsidR="00E6173E">
        <w:t>changes in investment flow</w:t>
      </w:r>
      <w:r w:rsidR="003F1C40">
        <w:t>s and countries’ economies</w:t>
      </w:r>
      <w:r w:rsidR="00E6173E">
        <w:t>.</w:t>
      </w:r>
      <w:r w:rsidR="003F1C40">
        <w:t xml:space="preserve"> So, basically, </w:t>
      </w:r>
      <w:r w:rsidR="00C95116">
        <w:t>if there are a</w:t>
      </w:r>
      <w:r w:rsidR="00BE16B7">
        <w:t>ny real changes in economies, it</w:t>
      </w:r>
      <w:r w:rsidR="00C95116">
        <w:t xml:space="preserve"> should </w:t>
      </w:r>
      <w:r w:rsidR="00BE16B7">
        <w:t>be observed</w:t>
      </w:r>
      <w:r w:rsidR="00C95116">
        <w:t xml:space="preserve"> it in tra</w:t>
      </w:r>
      <w:r w:rsidR="00B83022">
        <w:t>de.</w:t>
      </w:r>
      <w:r w:rsidR="00E6173E">
        <w:t xml:space="preserve"> </w:t>
      </w:r>
      <w:r w:rsidR="00B83022">
        <w:t>This is the reason of</w:t>
      </w:r>
      <w:r w:rsidR="00E6173E">
        <w:t xml:space="preserve"> assessing the</w:t>
      </w:r>
      <w:r w:rsidR="00C95116">
        <w:t xml:space="preserve"> impact of</w:t>
      </w:r>
      <w:r w:rsidR="00422809">
        <w:t xml:space="preserve"> the</w:t>
      </w:r>
      <w:r w:rsidR="00C95116">
        <w:t xml:space="preserve"> </w:t>
      </w:r>
      <w:r w:rsidR="00C95116" w:rsidRPr="00422809">
        <w:rPr>
          <w:color w:val="000000" w:themeColor="text1"/>
        </w:rPr>
        <w:t>Custom</w:t>
      </w:r>
      <w:r w:rsidR="00BE16B7">
        <w:rPr>
          <w:color w:val="000000" w:themeColor="text1"/>
        </w:rPr>
        <w:t>s U</w:t>
      </w:r>
      <w:r w:rsidR="00E6173E" w:rsidRPr="00422809">
        <w:rPr>
          <w:color w:val="000000" w:themeColor="text1"/>
        </w:rPr>
        <w:t>nion and</w:t>
      </w:r>
      <w:r w:rsidR="00422809" w:rsidRPr="00422809">
        <w:rPr>
          <w:color w:val="000000" w:themeColor="text1"/>
        </w:rPr>
        <w:t xml:space="preserve"> the</w:t>
      </w:r>
      <w:r w:rsidR="00E6173E" w:rsidRPr="00422809">
        <w:rPr>
          <w:color w:val="000000" w:themeColor="text1"/>
        </w:rPr>
        <w:t xml:space="preserve"> Eurasian E</w:t>
      </w:r>
      <w:r w:rsidR="00C95116" w:rsidRPr="00422809">
        <w:rPr>
          <w:color w:val="000000" w:themeColor="text1"/>
        </w:rPr>
        <w:t xml:space="preserve">conomic </w:t>
      </w:r>
      <w:r w:rsidR="00E6173E" w:rsidRPr="00422809">
        <w:rPr>
          <w:color w:val="000000" w:themeColor="text1"/>
        </w:rPr>
        <w:t>U</w:t>
      </w:r>
      <w:r w:rsidR="00C95116" w:rsidRPr="00422809">
        <w:rPr>
          <w:color w:val="000000" w:themeColor="text1"/>
        </w:rPr>
        <w:t xml:space="preserve">nion </w:t>
      </w:r>
      <w:r w:rsidR="00C95116">
        <w:t>on trade between countries.</w:t>
      </w:r>
      <w:r w:rsidR="00BE16B7">
        <w:t xml:space="preserve"> S</w:t>
      </w:r>
      <w:r w:rsidR="007461F0">
        <w:t>ince Armenia and Kirgizstan jo</w:t>
      </w:r>
      <w:r w:rsidR="00E6173E">
        <w:t xml:space="preserve">ined the union only in </w:t>
      </w:r>
      <w:r w:rsidR="007461F0">
        <w:t xml:space="preserve">2015 and </w:t>
      </w:r>
      <w:r w:rsidR="00E6173E">
        <w:t>the size of their</w:t>
      </w:r>
      <w:r w:rsidR="00BE16B7">
        <w:t xml:space="preserve"> respective</w:t>
      </w:r>
      <w:r w:rsidR="00E6173E">
        <w:t xml:space="preserve"> economies is</w:t>
      </w:r>
      <w:r w:rsidR="00BE16B7">
        <w:t xml:space="preserve"> relatively</w:t>
      </w:r>
      <w:r w:rsidR="00E6173E">
        <w:t xml:space="preserve"> </w:t>
      </w:r>
      <w:r w:rsidR="007461F0">
        <w:t xml:space="preserve">small, </w:t>
      </w:r>
      <w:r w:rsidR="00E6173E">
        <w:t xml:space="preserve">the research was focused </w:t>
      </w:r>
      <w:r w:rsidR="007461F0">
        <w:t xml:space="preserve">on three initial and major members of the Union and </w:t>
      </w:r>
      <w:r w:rsidR="00E6173E">
        <w:t xml:space="preserve">the </w:t>
      </w:r>
      <w:r w:rsidR="007461F0">
        <w:t>trade among them.</w:t>
      </w:r>
    </w:p>
    <w:p w:rsidR="00EC6034" w:rsidRDefault="00C95116">
      <w:r>
        <w:t>Testing such impact could br</w:t>
      </w:r>
      <w:r w:rsidR="00B83022">
        <w:t>ing</w:t>
      </w:r>
      <w:r>
        <w:t xml:space="preserve"> two important results</w:t>
      </w:r>
      <w:r w:rsidR="00E6173E">
        <w:t>. The first one</w:t>
      </w:r>
      <w:r w:rsidR="00851029">
        <w:t xml:space="preserve"> is </w:t>
      </w:r>
      <w:r w:rsidR="007C4ABD">
        <w:t xml:space="preserve">about </w:t>
      </w:r>
      <w:r w:rsidR="00E6173E">
        <w:t xml:space="preserve">the </w:t>
      </w:r>
      <w:r w:rsidR="00851029">
        <w:t>s</w:t>
      </w:r>
      <w:r w:rsidR="00E6173E">
        <w:t>tability and power of the U</w:t>
      </w:r>
      <w:r w:rsidR="007C4ABD">
        <w:t>nion</w:t>
      </w:r>
      <w:r w:rsidR="00C25167">
        <w:t xml:space="preserve"> as an institution</w:t>
      </w:r>
      <w:r w:rsidR="007C4ABD">
        <w:t>. The higher impact</w:t>
      </w:r>
      <w:r w:rsidR="00B83022">
        <w:t xml:space="preserve"> of</w:t>
      </w:r>
      <w:r w:rsidR="007C4ABD">
        <w:t xml:space="preserve"> </w:t>
      </w:r>
      <w:r w:rsidR="00C25167">
        <w:t xml:space="preserve">the Union </w:t>
      </w:r>
      <w:r w:rsidR="007C4ABD">
        <w:t xml:space="preserve">is, the </w:t>
      </w:r>
      <w:r w:rsidR="00851029">
        <w:t>more</w:t>
      </w:r>
      <w:r w:rsidR="007C4ABD" w:rsidRPr="007C4ABD">
        <w:t xml:space="preserve"> </w:t>
      </w:r>
      <w:r w:rsidR="007C4ABD">
        <w:t>economic</w:t>
      </w:r>
      <w:r w:rsidR="00851029">
        <w:t xml:space="preserve"> age</w:t>
      </w:r>
      <w:r w:rsidR="00E6173E">
        <w:t>n</w:t>
      </w:r>
      <w:r w:rsidR="00C25167">
        <w:t>ts benefit from the trade between</w:t>
      </w:r>
      <w:r w:rsidR="00E6173E">
        <w:t xml:space="preserve"> the U</w:t>
      </w:r>
      <w:r w:rsidR="00851029">
        <w:t>nion countries</w:t>
      </w:r>
      <w:r w:rsidR="007C4ABD">
        <w:t>.</w:t>
      </w:r>
      <w:r w:rsidR="00C25167">
        <w:t xml:space="preserve"> As a consequence</w:t>
      </w:r>
      <w:r w:rsidR="007C4ABD">
        <w:t xml:space="preserve">, </w:t>
      </w:r>
      <w:r w:rsidR="00851029">
        <w:t>suc</w:t>
      </w:r>
      <w:r w:rsidR="00C25167">
        <w:t xml:space="preserve">h trade is more important for </w:t>
      </w:r>
      <w:r w:rsidR="00F06E77">
        <w:t xml:space="preserve">those </w:t>
      </w:r>
      <w:r w:rsidR="00C25167">
        <w:t>econom</w:t>
      </w:r>
      <w:r w:rsidR="00F06E77">
        <w:t xml:space="preserve">ic agents </w:t>
      </w:r>
      <w:r w:rsidR="00422809">
        <w:t>belonging to</w:t>
      </w:r>
      <w:r w:rsidR="00F06E77">
        <w:t xml:space="preserve"> a country involved</w:t>
      </w:r>
      <w:r w:rsidR="00851029" w:rsidRPr="00F06E77">
        <w:t>.</w:t>
      </w:r>
      <w:r w:rsidR="00F06E77">
        <w:t xml:space="preserve"> The i</w:t>
      </w:r>
      <w:r w:rsidR="00851029">
        <w:t>nterest</w:t>
      </w:r>
      <w:r w:rsidR="007C4ABD">
        <w:t>s</w:t>
      </w:r>
      <w:r w:rsidR="00851029">
        <w:t xml:space="preserve"> of those agents and </w:t>
      </w:r>
      <w:r w:rsidR="00B72480">
        <w:t>importance for</w:t>
      </w:r>
      <w:r w:rsidR="00B00E48">
        <w:t xml:space="preserve"> economy could be converted into political power. Thus, if </w:t>
      </w:r>
      <w:r w:rsidR="00F06E77">
        <w:t xml:space="preserve">the </w:t>
      </w:r>
      <w:r w:rsidR="00B00E48">
        <w:t xml:space="preserve">impact </w:t>
      </w:r>
      <w:r w:rsidR="00F06E77">
        <w:t xml:space="preserve">of the Union </w:t>
      </w:r>
      <w:r w:rsidR="00B00E48">
        <w:t xml:space="preserve">is high, </w:t>
      </w:r>
      <w:r w:rsidR="00F06E77">
        <w:t xml:space="preserve">the </w:t>
      </w:r>
      <w:r w:rsidR="00F06E77" w:rsidRPr="00F06E77">
        <w:rPr>
          <w:color w:val="0D0D0D" w:themeColor="text1" w:themeTint="F2"/>
        </w:rPr>
        <w:t>U</w:t>
      </w:r>
      <w:r w:rsidR="00B00E48" w:rsidRPr="00F06E77">
        <w:rPr>
          <w:color w:val="0D0D0D" w:themeColor="text1" w:themeTint="F2"/>
        </w:rPr>
        <w:t>nion</w:t>
      </w:r>
      <w:r w:rsidR="00F06E77" w:rsidRPr="00F06E77">
        <w:rPr>
          <w:color w:val="0D0D0D" w:themeColor="text1" w:themeTint="F2"/>
        </w:rPr>
        <w:t xml:space="preserve"> </w:t>
      </w:r>
      <w:r w:rsidR="00F06E77">
        <w:t xml:space="preserve">itself becomes more </w:t>
      </w:r>
      <w:r w:rsidR="00B00E48">
        <w:t>important and stable</w:t>
      </w:r>
      <w:r w:rsidR="00F06E77">
        <w:t xml:space="preserve"> as </w:t>
      </w:r>
      <w:r w:rsidR="00B83022">
        <w:t xml:space="preserve">a </w:t>
      </w:r>
      <w:r w:rsidR="00F06E77">
        <w:t>political establishment</w:t>
      </w:r>
      <w:r w:rsidR="00B00E48">
        <w:t xml:space="preserve">; </w:t>
      </w:r>
      <w:r w:rsidR="007C4ABD">
        <w:t xml:space="preserve">and </w:t>
      </w:r>
      <w:r w:rsidR="00F06E77">
        <w:t>then the Union will</w:t>
      </w:r>
      <w:r w:rsidR="007C4ABD">
        <w:t xml:space="preserve"> continue </w:t>
      </w:r>
      <w:r w:rsidR="00F06E77">
        <w:t>to be developed</w:t>
      </w:r>
      <w:r w:rsidR="007C4ABD">
        <w:t xml:space="preserve"> in the foreseeable</w:t>
      </w:r>
      <w:r w:rsidR="00B00E48">
        <w:t xml:space="preserve"> future. And vice versa, if</w:t>
      </w:r>
      <w:r w:rsidR="007C4ABD">
        <w:t xml:space="preserve"> the</w:t>
      </w:r>
      <w:r w:rsidR="00B00E48">
        <w:t xml:space="preserve"> impact is low, </w:t>
      </w:r>
      <w:r w:rsidR="007C4ABD">
        <w:t>the Union becomes</w:t>
      </w:r>
      <w:r w:rsidR="00AF7EC5">
        <w:t xml:space="preserve"> less stable, </w:t>
      </w:r>
      <w:r w:rsidR="00F06E77">
        <w:t xml:space="preserve">and </w:t>
      </w:r>
      <w:r w:rsidR="007C4ABD">
        <w:t xml:space="preserve">the consequence is that </w:t>
      </w:r>
      <w:r w:rsidR="00AF7EC5">
        <w:t xml:space="preserve">there will be more conflicts between its participants, </w:t>
      </w:r>
      <w:r w:rsidR="007461F0">
        <w:t>and</w:t>
      </w:r>
      <w:r w:rsidR="00B83022">
        <w:t xml:space="preserve"> the</w:t>
      </w:r>
      <w:r w:rsidR="007461F0">
        <w:t xml:space="preserve"> </w:t>
      </w:r>
      <w:r w:rsidR="007C4ABD">
        <w:t>U</w:t>
      </w:r>
      <w:r w:rsidR="007461F0">
        <w:t>nion’s</w:t>
      </w:r>
      <w:r w:rsidR="00B00E48">
        <w:t xml:space="preserve"> members will be less willing</w:t>
      </w:r>
      <w:r w:rsidR="007C4ABD">
        <w:t xml:space="preserve"> </w:t>
      </w:r>
      <w:r w:rsidR="00B00E48">
        <w:t>to</w:t>
      </w:r>
      <w:r w:rsidR="007C4ABD">
        <w:t xml:space="preserve"> put effort into </w:t>
      </w:r>
      <w:r w:rsidR="00AF7EC5">
        <w:t>further</w:t>
      </w:r>
      <w:r w:rsidR="007C4ABD">
        <w:t xml:space="preserve"> development</w:t>
      </w:r>
      <w:r w:rsidR="00B00E48">
        <w:t xml:space="preserve">. </w:t>
      </w:r>
    </w:p>
    <w:p w:rsidR="00B72480" w:rsidRDefault="007C4ABD">
      <w:r>
        <w:lastRenderedPageBreak/>
        <w:t>Another purpose of this research is</w:t>
      </w:r>
      <w:r w:rsidR="00FE41D3">
        <w:t xml:space="preserve"> </w:t>
      </w:r>
      <w:r w:rsidR="00C25167">
        <w:t xml:space="preserve">to </w:t>
      </w:r>
      <w:r w:rsidR="00FE41D3">
        <w:t xml:space="preserve">understand </w:t>
      </w:r>
      <w:r w:rsidR="00C95116">
        <w:t>member countries</w:t>
      </w:r>
      <w:r w:rsidR="00B83022">
        <w:t>’</w:t>
      </w:r>
      <w:r w:rsidR="00C95116">
        <w:t xml:space="preserve"> p</w:t>
      </w:r>
      <w:r w:rsidR="004B40CD">
        <w:t xml:space="preserve">olitical and economic structure, </w:t>
      </w:r>
      <w:r w:rsidR="00B83022">
        <w:t>especially those of Russia</w:t>
      </w:r>
      <w:r w:rsidR="00F06E77">
        <w:t xml:space="preserve">. Usually, </w:t>
      </w:r>
      <w:r w:rsidR="00C25167">
        <w:t xml:space="preserve">a </w:t>
      </w:r>
      <w:r w:rsidR="00FE41D3">
        <w:t>custom</w:t>
      </w:r>
      <w:r w:rsidR="00C25167">
        <w:t>s</w:t>
      </w:r>
      <w:r w:rsidR="00FE41D3">
        <w:t xml:space="preserve"> union is </w:t>
      </w:r>
      <w:r w:rsidR="00C25167">
        <w:t xml:space="preserve">a </w:t>
      </w:r>
      <w:r w:rsidR="00FE41D3">
        <w:t>very effective mean</w:t>
      </w:r>
      <w:r w:rsidR="00C25167">
        <w:t>s</w:t>
      </w:r>
      <w:r w:rsidR="00B83022">
        <w:t xml:space="preserve"> of stimulation</w:t>
      </w:r>
      <w:r w:rsidR="00C25167">
        <w:t xml:space="preserve"> trade between countries. At</w:t>
      </w:r>
      <w:r w:rsidR="00FE41D3">
        <w:t xml:space="preserve"> the</w:t>
      </w:r>
      <w:r w:rsidR="00C25167">
        <w:t xml:space="preserve"> same time, some experts claim </w:t>
      </w:r>
      <w:r w:rsidR="00FE41D3">
        <w:t>that</w:t>
      </w:r>
      <w:r w:rsidR="00F06E77">
        <w:t xml:space="preserve"> many of </w:t>
      </w:r>
      <w:r w:rsidR="00FE41D3">
        <w:t xml:space="preserve">Russian </w:t>
      </w:r>
      <w:r w:rsidR="00FE41D3" w:rsidRPr="00F06E77">
        <w:rPr>
          <w:color w:val="0D0D0D" w:themeColor="text1" w:themeTint="F2"/>
        </w:rPr>
        <w:t>econo</w:t>
      </w:r>
      <w:r w:rsidR="00F06E77" w:rsidRPr="00F06E77">
        <w:rPr>
          <w:color w:val="0D0D0D" w:themeColor="text1" w:themeTint="F2"/>
        </w:rPr>
        <w:t xml:space="preserve">mic </w:t>
      </w:r>
      <w:r w:rsidR="00F06E77">
        <w:rPr>
          <w:color w:val="0D0D0D" w:themeColor="text1" w:themeTint="F2"/>
        </w:rPr>
        <w:t xml:space="preserve">initiatives </w:t>
      </w:r>
      <w:r w:rsidR="00B83022">
        <w:rPr>
          <w:color w:val="0D0D0D" w:themeColor="text1" w:themeTint="F2"/>
        </w:rPr>
        <w:t>are more about proclamations</w:t>
      </w:r>
      <w:r w:rsidR="00FE41D3" w:rsidRPr="00F06E77">
        <w:rPr>
          <w:color w:val="0D0D0D" w:themeColor="text1" w:themeTint="F2"/>
        </w:rPr>
        <w:t xml:space="preserve"> than </w:t>
      </w:r>
      <w:r w:rsidR="00FE41D3">
        <w:t xml:space="preserve">real actions. </w:t>
      </w:r>
      <w:r w:rsidR="00AF7EC5">
        <w:t>So, if such a powerful mean</w:t>
      </w:r>
      <w:r w:rsidR="00C25167">
        <w:t>s</w:t>
      </w:r>
      <w:r w:rsidR="00AF7EC5">
        <w:t xml:space="preserve"> as</w:t>
      </w:r>
      <w:r w:rsidR="00B83022">
        <w:rPr>
          <w:rFonts w:hint="eastAsia"/>
        </w:rPr>
        <w:t xml:space="preserve"> </w:t>
      </w:r>
      <w:r w:rsidR="00B83022">
        <w:t>a</w:t>
      </w:r>
      <w:r w:rsidR="00AF7EC5">
        <w:t xml:space="preserve"> custom</w:t>
      </w:r>
      <w:r w:rsidR="00C25167">
        <w:t>s union has</w:t>
      </w:r>
      <w:r w:rsidR="00F06E77">
        <w:t>n</w:t>
      </w:r>
      <w:r w:rsidR="00AF7EC5">
        <w:t xml:space="preserve">’t caused </w:t>
      </w:r>
      <w:r w:rsidR="00F06E77">
        <w:t>any significant result, which</w:t>
      </w:r>
      <w:r w:rsidR="00AF7EC5">
        <w:t xml:space="preserve"> bring</w:t>
      </w:r>
      <w:r w:rsidR="00F06E77">
        <w:t>s</w:t>
      </w:r>
      <w:r w:rsidR="00AF7EC5">
        <w:t xml:space="preserve"> another example of </w:t>
      </w:r>
      <w:r w:rsidR="00F06E77">
        <w:t xml:space="preserve">the </w:t>
      </w:r>
      <w:r w:rsidR="00AF7EC5">
        <w:t>weakness of</w:t>
      </w:r>
      <w:r w:rsidR="00BC4372">
        <w:t xml:space="preserve"> the Union member countries economic structure</w:t>
      </w:r>
      <w:r w:rsidR="00AF7EC5" w:rsidRPr="00F06E77">
        <w:rPr>
          <w:color w:val="0D0D0D" w:themeColor="text1" w:themeTint="F2"/>
        </w:rPr>
        <w:t>.</w:t>
      </w:r>
    </w:p>
    <w:p w:rsidR="00C95116" w:rsidRDefault="00C25167">
      <w:r>
        <w:t>One of the problems I have faced doing</w:t>
      </w:r>
      <w:r w:rsidR="00C95116">
        <w:t xml:space="preserve"> this research is </w:t>
      </w:r>
      <w:r w:rsidR="003F6F00">
        <w:t>the Union</w:t>
      </w:r>
      <w:r w:rsidR="00B83022">
        <w:t>’s</w:t>
      </w:r>
      <w:r w:rsidR="003F6F00">
        <w:t xml:space="preserve"> </w:t>
      </w:r>
      <w:r w:rsidR="00C95116">
        <w:t xml:space="preserve">economic instability caused by </w:t>
      </w:r>
      <w:r>
        <w:t xml:space="preserve">the </w:t>
      </w:r>
      <w:r w:rsidR="00C95116">
        <w:t xml:space="preserve">fall of oil prices in 2014. </w:t>
      </w:r>
      <w:r>
        <w:t>As</w:t>
      </w:r>
      <w:r w:rsidR="00FF1195">
        <w:t xml:space="preserve"> Russia and Kazakhstan are oil-exporting countries, </w:t>
      </w:r>
      <w:r w:rsidR="00B83022">
        <w:t xml:space="preserve">the </w:t>
      </w:r>
      <w:r w:rsidR="003223CB">
        <w:t>oil prices drop</w:t>
      </w:r>
      <w:r w:rsidR="00FF1195">
        <w:t xml:space="preserve"> hit them dramatically</w:t>
      </w:r>
      <w:r>
        <w:t xml:space="preserve"> (e.g. Russian GDP fe</w:t>
      </w:r>
      <w:r w:rsidR="0009461E">
        <w:t>ll from 2 to 1.3 trillion GDP)</w:t>
      </w:r>
      <w:r w:rsidR="00FF1195">
        <w:t>.</w:t>
      </w:r>
      <w:r>
        <w:t xml:space="preserve"> </w:t>
      </w:r>
      <w:r w:rsidR="003223CB">
        <w:t>Russia and Kazakhstan are</w:t>
      </w:r>
      <w:r w:rsidR="00B83022">
        <w:t xml:space="preserve"> the</w:t>
      </w:r>
      <w:r w:rsidR="003223CB">
        <w:t xml:space="preserve"> two </w:t>
      </w:r>
      <w:r w:rsidR="00B83022">
        <w:t>largest</w:t>
      </w:r>
      <w:r w:rsidR="003223CB">
        <w:t xml:space="preserve"> </w:t>
      </w:r>
      <w:r>
        <w:t>EAEU economies,</w:t>
      </w:r>
      <w:r w:rsidR="003223CB">
        <w:t xml:space="preserve"> </w:t>
      </w:r>
      <w:r>
        <w:t>and that</w:t>
      </w:r>
      <w:r w:rsidR="003F6F00">
        <w:t xml:space="preserve"> crisis affected the Union, and in fact, the whole </w:t>
      </w:r>
      <w:r w:rsidR="003F6F00">
        <w:rPr>
          <w:color w:val="0D0D0D" w:themeColor="text1" w:themeTint="F2"/>
        </w:rPr>
        <w:t>Commonwealth of Independent States (CIS) too</w:t>
      </w:r>
      <w:r w:rsidR="003223CB">
        <w:t xml:space="preserve">. </w:t>
      </w:r>
      <w:r w:rsidR="0009461E">
        <w:t xml:space="preserve">Table 1 shows </w:t>
      </w:r>
      <w:r>
        <w:t xml:space="preserve">the </w:t>
      </w:r>
      <w:r w:rsidR="0009461E">
        <w:t>dynamic</w:t>
      </w:r>
      <w:r>
        <w:t>s</w:t>
      </w:r>
      <w:r w:rsidR="0009461E">
        <w:t xml:space="preserve"> of</w:t>
      </w:r>
      <w:r w:rsidR="00AC16A8">
        <w:t xml:space="preserve"> overall</w:t>
      </w:r>
      <w:r w:rsidR="0009461E">
        <w:t xml:space="preserve"> trade</w:t>
      </w:r>
      <w:r w:rsidR="00AC16A8">
        <w:t xml:space="preserve"> amount</w:t>
      </w:r>
      <w:r w:rsidR="0009461E">
        <w:t xml:space="preserve"> </w:t>
      </w:r>
      <w:r w:rsidR="00AC16A8">
        <w:t xml:space="preserve">between </w:t>
      </w:r>
      <w:r>
        <w:t>the U</w:t>
      </w:r>
      <w:r w:rsidR="00AC16A8">
        <w:t xml:space="preserve">nion members and between </w:t>
      </w:r>
      <w:r>
        <w:t>the U</w:t>
      </w:r>
      <w:r w:rsidR="00AC16A8">
        <w:t>nion members and other world.</w:t>
      </w:r>
    </w:p>
    <w:p w:rsidR="00E24AAE" w:rsidRDefault="00E24AAE">
      <w:proofErr w:type="gramStart"/>
      <w:r>
        <w:t>Table 1.</w:t>
      </w:r>
      <w:proofErr w:type="gramEnd"/>
      <w:r>
        <w:t xml:space="preserve"> Dynamic of EACU (EAEU) internal and external trade</w:t>
      </w:r>
    </w:p>
    <w:tbl>
      <w:tblPr>
        <w:tblStyle w:val="a3"/>
        <w:tblW w:w="11178" w:type="dxa"/>
        <w:tblInd w:w="-792" w:type="dxa"/>
        <w:tblLook w:val="04A0" w:firstRow="1" w:lastRow="0" w:firstColumn="1" w:lastColumn="0" w:noHBand="0" w:noVBand="1"/>
      </w:tblPr>
      <w:tblGrid>
        <w:gridCol w:w="2970"/>
        <w:gridCol w:w="1368"/>
        <w:gridCol w:w="1368"/>
        <w:gridCol w:w="1368"/>
        <w:gridCol w:w="1368"/>
        <w:gridCol w:w="1368"/>
        <w:gridCol w:w="1368"/>
      </w:tblGrid>
      <w:tr w:rsidR="00AC16A8" w:rsidTr="00AC16A8">
        <w:tc>
          <w:tcPr>
            <w:tcW w:w="2970" w:type="dxa"/>
          </w:tcPr>
          <w:p w:rsidR="00AC16A8" w:rsidRDefault="00AC16A8" w:rsidP="00AC16A8">
            <w:pPr>
              <w:jc w:val="center"/>
            </w:pPr>
            <w:r>
              <w:t>Year</w:t>
            </w:r>
          </w:p>
        </w:tc>
        <w:tc>
          <w:tcPr>
            <w:tcW w:w="1368" w:type="dxa"/>
          </w:tcPr>
          <w:p w:rsidR="00AC16A8" w:rsidRDefault="00AC16A8" w:rsidP="00AC16A8">
            <w:pPr>
              <w:jc w:val="center"/>
            </w:pPr>
            <w:r>
              <w:t>2011</w:t>
            </w:r>
          </w:p>
        </w:tc>
        <w:tc>
          <w:tcPr>
            <w:tcW w:w="1368" w:type="dxa"/>
          </w:tcPr>
          <w:p w:rsidR="00AC16A8" w:rsidRDefault="00E24AAE" w:rsidP="00AC16A8">
            <w:pPr>
              <w:jc w:val="center"/>
            </w:pPr>
            <w:r>
              <w:t>2012</w:t>
            </w:r>
          </w:p>
        </w:tc>
        <w:tc>
          <w:tcPr>
            <w:tcW w:w="1368" w:type="dxa"/>
          </w:tcPr>
          <w:p w:rsidR="00AC16A8" w:rsidRDefault="00E24AAE" w:rsidP="00AC16A8">
            <w:pPr>
              <w:jc w:val="center"/>
            </w:pPr>
            <w:r>
              <w:t>2013</w:t>
            </w:r>
          </w:p>
        </w:tc>
        <w:tc>
          <w:tcPr>
            <w:tcW w:w="1368" w:type="dxa"/>
          </w:tcPr>
          <w:p w:rsidR="00AC16A8" w:rsidRDefault="00E24AAE" w:rsidP="00AC16A8">
            <w:pPr>
              <w:jc w:val="center"/>
            </w:pPr>
            <w:r>
              <w:t>2014</w:t>
            </w:r>
          </w:p>
        </w:tc>
        <w:tc>
          <w:tcPr>
            <w:tcW w:w="1368" w:type="dxa"/>
          </w:tcPr>
          <w:p w:rsidR="00AC16A8" w:rsidRDefault="00E24AAE" w:rsidP="00AC16A8">
            <w:pPr>
              <w:jc w:val="center"/>
            </w:pPr>
            <w:r>
              <w:t>2015</w:t>
            </w:r>
          </w:p>
        </w:tc>
        <w:tc>
          <w:tcPr>
            <w:tcW w:w="1368" w:type="dxa"/>
          </w:tcPr>
          <w:p w:rsidR="00AC16A8" w:rsidRDefault="00E24AAE" w:rsidP="00AC16A8">
            <w:pPr>
              <w:jc w:val="center"/>
            </w:pPr>
            <w:r>
              <w:t>2016</w:t>
            </w:r>
          </w:p>
        </w:tc>
      </w:tr>
      <w:tr w:rsidR="00AC16A8" w:rsidTr="00AC16A8">
        <w:tc>
          <w:tcPr>
            <w:tcW w:w="2970" w:type="dxa"/>
          </w:tcPr>
          <w:p w:rsidR="00AC16A8" w:rsidRPr="00AC16A8" w:rsidRDefault="00E24AAE" w:rsidP="00AC16A8">
            <w:r>
              <w:t>Union internal</w:t>
            </w:r>
            <w:r w:rsidR="00B83022">
              <w:t xml:space="preserve"> trade, b</w:t>
            </w:r>
            <w:r w:rsidR="00AC16A8">
              <w:t>n</w:t>
            </w:r>
            <w:r w:rsidR="00B83022">
              <w:t>.</w:t>
            </w:r>
            <w:r w:rsidR="00AC16A8">
              <w:t xml:space="preserve"> USD</w:t>
            </w:r>
          </w:p>
        </w:tc>
        <w:tc>
          <w:tcPr>
            <w:tcW w:w="1368" w:type="dxa"/>
          </w:tcPr>
          <w:p w:rsidR="00AC16A8" w:rsidRDefault="00E24AAE" w:rsidP="00AC16A8">
            <w:pPr>
              <w:jc w:val="center"/>
            </w:pPr>
            <w:r>
              <w:t>62.3</w:t>
            </w:r>
          </w:p>
        </w:tc>
        <w:tc>
          <w:tcPr>
            <w:tcW w:w="1368" w:type="dxa"/>
          </w:tcPr>
          <w:p w:rsidR="00AC16A8" w:rsidRDefault="00E24AAE" w:rsidP="00AC16A8">
            <w:pPr>
              <w:jc w:val="center"/>
            </w:pPr>
            <w:r>
              <w:t>68.6</w:t>
            </w:r>
          </w:p>
        </w:tc>
        <w:tc>
          <w:tcPr>
            <w:tcW w:w="1368" w:type="dxa"/>
          </w:tcPr>
          <w:p w:rsidR="00AC16A8" w:rsidRDefault="00E24AAE" w:rsidP="00AC16A8">
            <w:pPr>
              <w:jc w:val="center"/>
            </w:pPr>
            <w:r>
              <w:t>64.1</w:t>
            </w:r>
          </w:p>
        </w:tc>
        <w:tc>
          <w:tcPr>
            <w:tcW w:w="1368" w:type="dxa"/>
          </w:tcPr>
          <w:p w:rsidR="00AC16A8" w:rsidRDefault="00E24AAE" w:rsidP="00AC16A8">
            <w:pPr>
              <w:jc w:val="center"/>
            </w:pPr>
            <w:r>
              <w:t>57.4</w:t>
            </w:r>
          </w:p>
        </w:tc>
        <w:tc>
          <w:tcPr>
            <w:tcW w:w="1368" w:type="dxa"/>
          </w:tcPr>
          <w:p w:rsidR="00AC16A8" w:rsidRDefault="00E24AAE" w:rsidP="00AC16A8">
            <w:pPr>
              <w:jc w:val="center"/>
            </w:pPr>
            <w:r>
              <w:t>45.4</w:t>
            </w:r>
          </w:p>
        </w:tc>
        <w:tc>
          <w:tcPr>
            <w:tcW w:w="1368" w:type="dxa"/>
          </w:tcPr>
          <w:p w:rsidR="00AC16A8" w:rsidRDefault="00E24AAE" w:rsidP="00AC16A8">
            <w:pPr>
              <w:jc w:val="center"/>
            </w:pPr>
            <w:r>
              <w:t>42.5</w:t>
            </w:r>
          </w:p>
        </w:tc>
      </w:tr>
      <w:tr w:rsidR="00AC16A8" w:rsidTr="00AC16A8">
        <w:tc>
          <w:tcPr>
            <w:tcW w:w="2970" w:type="dxa"/>
          </w:tcPr>
          <w:p w:rsidR="00AC16A8" w:rsidRPr="00AC16A8" w:rsidRDefault="00B83022" w:rsidP="00AC16A8">
            <w:r>
              <w:t>Union external trade, b</w:t>
            </w:r>
            <w:r w:rsidR="00AC16A8">
              <w:t>n</w:t>
            </w:r>
            <w:r>
              <w:t>.</w:t>
            </w:r>
            <w:r w:rsidR="00AC16A8">
              <w:t xml:space="preserve"> USD</w:t>
            </w:r>
          </w:p>
        </w:tc>
        <w:tc>
          <w:tcPr>
            <w:tcW w:w="1368" w:type="dxa"/>
          </w:tcPr>
          <w:p w:rsidR="00AC16A8" w:rsidRDefault="00E24AAE" w:rsidP="00AC16A8">
            <w:pPr>
              <w:jc w:val="center"/>
            </w:pPr>
            <w:r>
              <w:t>913</w:t>
            </w:r>
          </w:p>
        </w:tc>
        <w:tc>
          <w:tcPr>
            <w:tcW w:w="1368" w:type="dxa"/>
          </w:tcPr>
          <w:p w:rsidR="00AC16A8" w:rsidRDefault="00E24AAE" w:rsidP="00AC16A8">
            <w:pPr>
              <w:jc w:val="center"/>
            </w:pPr>
            <w:r>
              <w:t>939.3</w:t>
            </w:r>
          </w:p>
        </w:tc>
        <w:tc>
          <w:tcPr>
            <w:tcW w:w="1368" w:type="dxa"/>
          </w:tcPr>
          <w:p w:rsidR="00AC16A8" w:rsidRDefault="00E24AAE" w:rsidP="00AC16A8">
            <w:pPr>
              <w:jc w:val="center"/>
            </w:pPr>
            <w:r>
              <w:t>931</w:t>
            </w:r>
          </w:p>
        </w:tc>
        <w:tc>
          <w:tcPr>
            <w:tcW w:w="1368" w:type="dxa"/>
          </w:tcPr>
          <w:p w:rsidR="00AC16A8" w:rsidRDefault="00E24AAE" w:rsidP="00AC16A8">
            <w:pPr>
              <w:jc w:val="center"/>
            </w:pPr>
            <w:r>
              <w:t>868,5</w:t>
            </w:r>
          </w:p>
        </w:tc>
        <w:tc>
          <w:tcPr>
            <w:tcW w:w="1368" w:type="dxa"/>
          </w:tcPr>
          <w:p w:rsidR="00AC16A8" w:rsidRDefault="00E24AAE" w:rsidP="00AC16A8">
            <w:pPr>
              <w:jc w:val="center"/>
            </w:pPr>
            <w:r>
              <w:t>579.5</w:t>
            </w:r>
          </w:p>
        </w:tc>
        <w:tc>
          <w:tcPr>
            <w:tcW w:w="1368" w:type="dxa"/>
          </w:tcPr>
          <w:p w:rsidR="00AC16A8" w:rsidRDefault="00E24AAE" w:rsidP="00AC16A8">
            <w:pPr>
              <w:jc w:val="center"/>
            </w:pPr>
            <w:r>
              <w:t>509.7</w:t>
            </w:r>
          </w:p>
        </w:tc>
      </w:tr>
    </w:tbl>
    <w:p w:rsidR="00AC16A8" w:rsidRDefault="00AC16A8"/>
    <w:p w:rsidR="00C96E5E" w:rsidRPr="003223CB" w:rsidRDefault="003F6F00">
      <w:r>
        <w:t>So, as we can</w:t>
      </w:r>
      <w:r w:rsidR="00C96E5E">
        <w:t xml:space="preserve"> see,</w:t>
      </w:r>
      <w:r>
        <w:t xml:space="preserve"> the U</w:t>
      </w:r>
      <w:r w:rsidR="00C96E5E">
        <w:t>nion as a whole started to show negative performanc</w:t>
      </w:r>
      <w:r>
        <w:t>e even before</w:t>
      </w:r>
      <w:r w:rsidR="00BC4372">
        <w:t xml:space="preserve"> drop in</w:t>
      </w:r>
      <w:r>
        <w:t xml:space="preserve"> 2015, in fact </w:t>
      </w:r>
      <w:r w:rsidR="00B83022">
        <w:t xml:space="preserve">in </w:t>
      </w:r>
      <w:r>
        <w:t>2013</w:t>
      </w:r>
      <w:r w:rsidR="00BC4372">
        <w:t>,</w:t>
      </w:r>
      <w:r>
        <w:t xml:space="preserve"> </w:t>
      </w:r>
      <w:r w:rsidR="00C96E5E">
        <w:t xml:space="preserve">when Russian </w:t>
      </w:r>
      <w:r>
        <w:t>economic crisis started</w:t>
      </w:r>
      <w:r w:rsidR="00C96E5E">
        <w:t>.</w:t>
      </w:r>
    </w:p>
    <w:p w:rsidR="0095447C" w:rsidRPr="00851029" w:rsidRDefault="00B72480">
      <w:pPr>
        <w:rPr>
          <w:b/>
        </w:rPr>
      </w:pPr>
      <w:r>
        <w:rPr>
          <w:b/>
        </w:rPr>
        <w:t>EEU statistics</w:t>
      </w:r>
    </w:p>
    <w:p w:rsidR="00CC4D1F" w:rsidRDefault="00B72480">
      <w:r>
        <w:t>In this part trade st</w:t>
      </w:r>
      <w:r w:rsidR="000F6DA2">
        <w:t>atistics</w:t>
      </w:r>
      <w:r w:rsidR="003F6F00">
        <w:t xml:space="preserve"> provided by</w:t>
      </w:r>
      <w:r w:rsidR="00B83022">
        <w:t xml:space="preserve"> the</w:t>
      </w:r>
      <w:r w:rsidR="003F6F00">
        <w:t xml:space="preserve"> Eurasian Economic Commission</w:t>
      </w:r>
      <w:r w:rsidR="00B83022">
        <w:t xml:space="preserve"> will be analyzed</w:t>
      </w:r>
      <w:r>
        <w:t>.</w:t>
      </w:r>
      <w:r w:rsidR="003223CB">
        <w:t xml:space="preserve"> </w:t>
      </w:r>
      <w:r>
        <w:t>EEU collect</w:t>
      </w:r>
      <w:r w:rsidR="003F6F00">
        <w:t>s</w:t>
      </w:r>
      <w:r>
        <w:t xml:space="preserve"> all the trade data of member countries and</w:t>
      </w:r>
      <w:r w:rsidR="003F6F00">
        <w:t xml:space="preserve"> the U</w:t>
      </w:r>
      <w:r>
        <w:t xml:space="preserve">nion as a whole, </w:t>
      </w:r>
      <w:r w:rsidR="003F6F00">
        <w:t xml:space="preserve">and </w:t>
      </w:r>
      <w:r w:rsidR="000F6DA2">
        <w:t>two indicators are the most interesting</w:t>
      </w:r>
      <w:r>
        <w:t>: non</w:t>
      </w:r>
      <w:r w:rsidR="003F6F00">
        <w:t>-resource trade amount as a share</w:t>
      </w:r>
      <w:r>
        <w:t xml:space="preserve"> of total trade between the countries </w:t>
      </w:r>
      <w:r w:rsidR="003F6F00">
        <w:t>and in-union trade as a share</w:t>
      </w:r>
      <w:r>
        <w:t xml:space="preserve"> of total trade of the member countries.</w:t>
      </w:r>
      <w:r w:rsidR="00FF1195">
        <w:t xml:space="preserve"> </w:t>
      </w:r>
      <w:r w:rsidR="00CC4D1F">
        <w:t>Those two factors ar</w:t>
      </w:r>
      <w:r w:rsidR="003F6F00">
        <w:t>e representing to goals of the U</w:t>
      </w:r>
      <w:r w:rsidR="00CC4D1F">
        <w:t>nion: promoting in-union tr</w:t>
      </w:r>
      <w:r w:rsidR="003F6F00">
        <w:t>ade and diversifying its member</w:t>
      </w:r>
      <w:r w:rsidR="00CC4D1F">
        <w:t xml:space="preserve">s economy. </w:t>
      </w:r>
    </w:p>
    <w:p w:rsidR="00FF1195" w:rsidRPr="003F6F00" w:rsidRDefault="000F6DA2">
      <w:r>
        <w:t>Let’s</w:t>
      </w:r>
      <w:r w:rsidR="003F6F00">
        <w:t xml:space="preserve"> </w:t>
      </w:r>
      <w:r w:rsidR="00FF1195">
        <w:t xml:space="preserve">start with </w:t>
      </w:r>
      <w:r w:rsidR="003F6F00">
        <w:t xml:space="preserve">the </w:t>
      </w:r>
      <w:r w:rsidR="00FF1195">
        <w:t xml:space="preserve">trade </w:t>
      </w:r>
      <w:r w:rsidR="003F6F00">
        <w:t>structure among</w:t>
      </w:r>
      <w:r w:rsidR="00FF1195">
        <w:t xml:space="preserve"> m</w:t>
      </w:r>
      <w:r w:rsidR="003F6F00">
        <w:t xml:space="preserve">ember countries. The data presented is from 2011 to </w:t>
      </w:r>
      <w:r w:rsidR="00FF1195">
        <w:t xml:space="preserve">2016. </w:t>
      </w:r>
      <w:r w:rsidR="003F6F00">
        <w:t xml:space="preserve">Before </w:t>
      </w:r>
      <w:r w:rsidR="007461F0">
        <w:t xml:space="preserve">2015 </w:t>
      </w:r>
      <w:r w:rsidR="005E148D">
        <w:t xml:space="preserve">the </w:t>
      </w:r>
      <w:r w:rsidR="007461F0">
        <w:t xml:space="preserve">trade between </w:t>
      </w:r>
      <w:r w:rsidR="009652F6">
        <w:t>three initial members</w:t>
      </w:r>
      <w:r w:rsidR="005E148D">
        <w:t xml:space="preserve"> was examined; 2015 and 2016 data was observed on the basis of </w:t>
      </w:r>
      <w:r w:rsidR="009652F6">
        <w:t xml:space="preserve">five </w:t>
      </w:r>
      <w:r w:rsidR="005E148D">
        <w:t xml:space="preserve">Union member </w:t>
      </w:r>
      <w:r w:rsidR="009652F6">
        <w:t xml:space="preserve">countries. </w:t>
      </w:r>
      <w:r w:rsidR="00BA44FF">
        <w:t>Figure 1 shows the result</w:t>
      </w:r>
      <w:r w:rsidR="005E148D">
        <w:t>s obtained</w:t>
      </w:r>
      <w:r w:rsidR="00BA44FF">
        <w:t>.</w:t>
      </w:r>
    </w:p>
    <w:p w:rsidR="00223273" w:rsidRPr="00223273" w:rsidRDefault="00223273" w:rsidP="00223273">
      <w:pPr>
        <w:ind w:left="-720" w:right="-720"/>
      </w:pPr>
      <w:r>
        <w:rPr>
          <w:noProof/>
        </w:rPr>
        <w:lastRenderedPageBreak/>
        <w:drawing>
          <wp:inline distT="0" distB="0" distL="0" distR="0" wp14:anchorId="39DF4A68" wp14:editId="018B53AC">
            <wp:extent cx="6576646" cy="3135923"/>
            <wp:effectExtent l="0" t="0" r="15240" b="2667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3273" w:rsidRPr="00223273" w:rsidRDefault="005E148D" w:rsidP="00223273">
      <w:pPr>
        <w:rPr>
          <w:i/>
        </w:rPr>
      </w:pPr>
      <w:r>
        <w:rPr>
          <w:i/>
        </w:rPr>
        <w:t>Figure 1: T</w:t>
      </w:r>
      <w:r w:rsidR="00223273" w:rsidRPr="00223273">
        <w:rPr>
          <w:i/>
        </w:rPr>
        <w:t xml:space="preserve">rade </w:t>
      </w:r>
      <w:r>
        <w:rPr>
          <w:i/>
        </w:rPr>
        <w:t>structure among the U</w:t>
      </w:r>
      <w:r w:rsidR="00223273" w:rsidRPr="00223273">
        <w:rPr>
          <w:i/>
        </w:rPr>
        <w:t>nion members (source: EEU statistics).</w:t>
      </w:r>
    </w:p>
    <w:p w:rsidR="00223273" w:rsidRDefault="00D770B0">
      <w:r>
        <w:t>Dynamics on the chart look</w:t>
      </w:r>
      <w:r w:rsidR="00BA44FF">
        <w:t xml:space="preserve"> positive</w:t>
      </w:r>
      <w:r>
        <w:t xml:space="preserve">, especially before </w:t>
      </w:r>
      <w:r w:rsidR="005E148D">
        <w:t xml:space="preserve">the </w:t>
      </w:r>
      <w:r>
        <w:t>crisis. Share</w:t>
      </w:r>
      <w:r w:rsidR="00844D72">
        <w:t>s</w:t>
      </w:r>
      <w:r>
        <w:t xml:space="preserve"> of mineral products in overall trade within </w:t>
      </w:r>
      <w:r w:rsidR="005E148D">
        <w:t>the Union fe</w:t>
      </w:r>
      <w:r>
        <w:t xml:space="preserve">ll </w:t>
      </w:r>
      <w:r w:rsidR="005B169E">
        <w:t xml:space="preserve">from 39.8% in 2011 to 30.5% in 2014, when some other groups </w:t>
      </w:r>
      <w:r w:rsidR="005E148D">
        <w:t xml:space="preserve">showed </w:t>
      </w:r>
      <w:r w:rsidR="005B169E">
        <w:t>some growth - agricultural goods (from 9.3% to 13.7%), machinery (from 20% to 21.9%), chemical</w:t>
      </w:r>
      <w:r w:rsidR="00844D72">
        <w:t xml:space="preserve"> products</w:t>
      </w:r>
      <w:r w:rsidR="005B169E">
        <w:t xml:space="preserve"> (from 9.1% to 10%). </w:t>
      </w:r>
      <w:r w:rsidR="005E148D">
        <w:t>In fact, this phenomenon</w:t>
      </w:r>
      <w:r w:rsidR="00E115B9">
        <w:t xml:space="preserve"> </w:t>
      </w:r>
      <w:r w:rsidR="005E148D">
        <w:t xml:space="preserve">is </w:t>
      </w:r>
      <w:r w:rsidR="00E115B9">
        <w:t xml:space="preserve">caused not </w:t>
      </w:r>
      <w:r w:rsidR="005E148D">
        <w:t xml:space="preserve">only </w:t>
      </w:r>
      <w:r w:rsidR="00E115B9">
        <w:t>by pu</w:t>
      </w:r>
      <w:r w:rsidR="005E148D">
        <w:t>re economic reasons: during that</w:t>
      </w:r>
      <w:r w:rsidR="00E115B9">
        <w:t xml:space="preserve"> period Kazakhstan s</w:t>
      </w:r>
      <w:r w:rsidR="005E148D">
        <w:t>t</w:t>
      </w:r>
      <w:r w:rsidR="00E115B9">
        <w:t xml:space="preserve">opped </w:t>
      </w:r>
      <w:r w:rsidR="00844D72">
        <w:t>buying</w:t>
      </w:r>
      <w:r w:rsidR="00E115B9">
        <w:t xml:space="preserve"> Russian oil, mostly because of logistic</w:t>
      </w:r>
      <w:r w:rsidR="00844D72">
        <w:t>al</w:t>
      </w:r>
      <w:r w:rsidR="00E115B9">
        <w:t xml:space="preserve"> reasons. So the total cost of oil bou</w:t>
      </w:r>
      <w:r w:rsidR="005E148D">
        <w:t>ght by Kazakhstan from Russia fe</w:t>
      </w:r>
      <w:r w:rsidR="00E115B9">
        <w:t xml:space="preserve">ll down from 2.5 billion USD to 187.9 million. </w:t>
      </w:r>
      <w:r w:rsidR="0012506D">
        <w:t xml:space="preserve"> During the same</w:t>
      </w:r>
      <w:r w:rsidR="005E148D">
        <w:t xml:space="preserve"> time framework, the </w:t>
      </w:r>
      <w:r w:rsidR="0012506D">
        <w:t xml:space="preserve">amount of oil consumed by Belarus </w:t>
      </w:r>
      <w:r w:rsidR="005E148D">
        <w:t>remained at</w:t>
      </w:r>
      <w:r w:rsidR="0012506D">
        <w:t xml:space="preserve"> the same level – 7.4 billion USD in 2011 and 7</w:t>
      </w:r>
      <w:r w:rsidR="005E148D">
        <w:t xml:space="preserve">.6 billion USD in 2014. This might be </w:t>
      </w:r>
      <w:r w:rsidR="0012506D">
        <w:t>explained by the fact that Russia sells oil to Belarus at below-market prices and do</w:t>
      </w:r>
      <w:r w:rsidR="005E148D">
        <w:t>esn’t want Belarus to increase</w:t>
      </w:r>
      <w:r w:rsidR="0012506D">
        <w:t xml:space="preserve"> oil export</w:t>
      </w:r>
      <w:r w:rsidR="00844D72">
        <w:t>s</w:t>
      </w:r>
      <w:r w:rsidR="0012506D">
        <w:rPr>
          <w:rStyle w:val="a9"/>
        </w:rPr>
        <w:footnoteReference w:id="1"/>
      </w:r>
      <w:r w:rsidR="0012506D">
        <w:t>.</w:t>
      </w:r>
      <w:r w:rsidR="00D032F0">
        <w:t xml:space="preserve"> So basically the positive dynamic</w:t>
      </w:r>
      <w:r w:rsidR="005E148D">
        <w:t>s</w:t>
      </w:r>
      <w:r w:rsidR="00D032F0">
        <w:t xml:space="preserve"> we could observe in othe</w:t>
      </w:r>
      <w:r w:rsidR="005E148D">
        <w:t xml:space="preserve">r industries is mainly caused by </w:t>
      </w:r>
      <w:r w:rsidR="00D032F0">
        <w:t>mineral sector</w:t>
      </w:r>
      <w:r w:rsidR="005E148D">
        <w:t xml:space="preserve"> trade stagnation, but the stagnation derived not being influenced by </w:t>
      </w:r>
      <w:r w:rsidR="00D032F0">
        <w:t>economic reasons.</w:t>
      </w:r>
      <w:r w:rsidR="005E148D">
        <w:t xml:space="preserve"> Thus, </w:t>
      </w:r>
      <w:r w:rsidR="00877D44">
        <w:t xml:space="preserve">we cannot observe any positive </w:t>
      </w:r>
      <w:r w:rsidR="00BC4372">
        <w:t xml:space="preserve">economic </w:t>
      </w:r>
      <w:r w:rsidR="00877D44">
        <w:t>impact of the Union on the structure of trade between its members</w:t>
      </w:r>
      <w:r w:rsidR="005E148D">
        <w:t>.</w:t>
      </w:r>
    </w:p>
    <w:p w:rsidR="00314BE2" w:rsidRDefault="0024531E">
      <w:r>
        <w:t xml:space="preserve">The same tendency is relevant </w:t>
      </w:r>
      <w:r w:rsidR="00314BE2">
        <w:t xml:space="preserve">for </w:t>
      </w:r>
      <w:r>
        <w:t xml:space="preserve">the </w:t>
      </w:r>
      <w:r w:rsidR="00844D72">
        <w:t>scale</w:t>
      </w:r>
      <w:r w:rsidR="00314BE2">
        <w:t xml:space="preserve"> of in-union trade to externa</w:t>
      </w:r>
      <w:r w:rsidR="005E148D">
        <w:t xml:space="preserve">l trade as an indicator of the Union </w:t>
      </w:r>
      <w:r w:rsidR="00314BE2">
        <w:t>effectiveness. Figure 2</w:t>
      </w:r>
      <w:r>
        <w:t xml:space="preserve"> shows its dynamics. As we can</w:t>
      </w:r>
      <w:r w:rsidR="00314BE2">
        <w:t xml:space="preserve"> see, </w:t>
      </w:r>
      <w:r w:rsidR="004B40CD">
        <w:t>such dynamic</w:t>
      </w:r>
      <w:r>
        <w:t>s</w:t>
      </w:r>
      <w:r w:rsidR="004B40CD">
        <w:t xml:space="preserve"> was negative during the period from 2011 to 2014, and sw</w:t>
      </w:r>
      <w:r>
        <w:t xml:space="preserve">itched to positive during </w:t>
      </w:r>
      <w:r w:rsidR="004B40CD">
        <w:t xml:space="preserve">2015 and 2016, but as we </w:t>
      </w:r>
      <w:r>
        <w:t xml:space="preserve">could already observe </w:t>
      </w:r>
      <w:r w:rsidR="0009461E">
        <w:t>from table 1</w:t>
      </w:r>
      <w:r w:rsidR="004B40CD">
        <w:t>, that happened not because</w:t>
      </w:r>
      <w:r>
        <w:t xml:space="preserve"> of in-union trade was</w:t>
      </w:r>
      <w:r w:rsidR="004B40CD">
        <w:t xml:space="preserve"> growing faster </w:t>
      </w:r>
      <w:r>
        <w:t xml:space="preserve">than </w:t>
      </w:r>
      <w:r w:rsidR="004B40CD">
        <w:t>the trade with oth</w:t>
      </w:r>
      <w:r>
        <w:t>er countries, but because in-</w:t>
      </w:r>
      <w:r w:rsidR="00BF790F">
        <w:t>union trade was falling more slowly</w:t>
      </w:r>
      <w:r w:rsidR="00877D44">
        <w:t xml:space="preserve"> (this phenomena explained by the simple fact that the</w:t>
      </w:r>
      <w:r w:rsidR="00844D72">
        <w:t xml:space="preserve"> mineral resourc</w:t>
      </w:r>
      <w:r w:rsidR="004A74AA">
        <w:t>es</w:t>
      </w:r>
      <w:r w:rsidR="00877D44">
        <w:t xml:space="preserve">, </w:t>
      </w:r>
      <w:r w:rsidR="00844D72">
        <w:t>prices of which dropped by more than half</w:t>
      </w:r>
      <w:r w:rsidR="00877D44">
        <w:t xml:space="preserve">, </w:t>
      </w:r>
      <w:r w:rsidR="004A74AA">
        <w:t>formed</w:t>
      </w:r>
      <w:r w:rsidR="00877D44">
        <w:t xml:space="preserve"> 70% of the Union external trade, but only 30% of</w:t>
      </w:r>
      <w:r w:rsidR="00844D72">
        <w:t xml:space="preserve"> the U</w:t>
      </w:r>
      <w:r w:rsidR="00877D44">
        <w:t>nion internal trade)</w:t>
      </w:r>
      <w:r w:rsidR="004B40CD">
        <w:t>.</w:t>
      </w:r>
    </w:p>
    <w:p w:rsidR="00314BE2" w:rsidRDefault="00314BE2">
      <w:r>
        <w:rPr>
          <w:noProof/>
        </w:rPr>
        <w:lastRenderedPageBreak/>
        <w:drawing>
          <wp:inline distT="0" distB="0" distL="0" distR="0">
            <wp:extent cx="3879850" cy="1078230"/>
            <wp:effectExtent l="0" t="0" r="25400" b="2667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032F0" w:rsidRDefault="00314BE2">
      <w:r>
        <w:t>Figure 2: Sum of trade amounts between Russia, Belarus and Kazakhstan as a fraction EAEU external trade.</w:t>
      </w:r>
    </w:p>
    <w:p w:rsidR="00314BE2" w:rsidRPr="00FF6BE6" w:rsidRDefault="00BF790F">
      <w:r>
        <w:t>Thus</w:t>
      </w:r>
      <w:r w:rsidR="00FF6BE6">
        <w:t xml:space="preserve">, we couldn’t find any effect from EACU and EAEU </w:t>
      </w:r>
      <w:r>
        <w:t xml:space="preserve">on trade </w:t>
      </w:r>
      <w:r w:rsidR="00FF6BE6">
        <w:t xml:space="preserve">observing </w:t>
      </w:r>
      <w:r>
        <w:t xml:space="preserve">the </w:t>
      </w:r>
      <w:r w:rsidR="00FF6BE6">
        <w:t xml:space="preserve">basic statistics. </w:t>
      </w:r>
      <w:r>
        <w:t xml:space="preserve">The </w:t>
      </w:r>
      <w:r w:rsidR="00FF6BE6">
        <w:t xml:space="preserve">Union failed to promote </w:t>
      </w:r>
      <w:r>
        <w:t xml:space="preserve">the </w:t>
      </w:r>
      <w:r w:rsidR="00FF6BE6">
        <w:t>trade between its members agai</w:t>
      </w:r>
      <w:r w:rsidR="0009461E">
        <w:t xml:space="preserve">nst trade with </w:t>
      </w:r>
      <w:r>
        <w:t xml:space="preserve">the rest of the </w:t>
      </w:r>
      <w:r w:rsidR="0009461E">
        <w:t>world. To</w:t>
      </w:r>
      <w:r w:rsidR="00BC4372">
        <w:t xml:space="preserve"> get more exact result</w:t>
      </w:r>
      <w:r w:rsidR="00DF3C41">
        <w:t xml:space="preserve"> there</w:t>
      </w:r>
      <w:r>
        <w:t xml:space="preserve"> </w:t>
      </w:r>
      <w:r w:rsidR="0009461E">
        <w:t>use</w:t>
      </w:r>
      <w:r>
        <w:t>d a</w:t>
      </w:r>
      <w:r w:rsidR="0009461E">
        <w:t xml:space="preserve"> gravity model.</w:t>
      </w:r>
    </w:p>
    <w:p w:rsidR="002516F1" w:rsidRPr="00EC6034" w:rsidRDefault="00BF790F">
      <w:pPr>
        <w:rPr>
          <w:b/>
        </w:rPr>
      </w:pPr>
      <w:r>
        <w:rPr>
          <w:b/>
        </w:rPr>
        <w:t>G</w:t>
      </w:r>
      <w:r w:rsidR="004B40CD">
        <w:rPr>
          <w:b/>
        </w:rPr>
        <w:t>ravity model</w:t>
      </w:r>
      <w:r>
        <w:rPr>
          <w:b/>
        </w:rPr>
        <w:t xml:space="preserve"> analysis</w:t>
      </w:r>
    </w:p>
    <w:p w:rsidR="00EC6034" w:rsidRPr="00EC6034" w:rsidRDefault="00EC6034">
      <w:pPr>
        <w:rPr>
          <w:i/>
        </w:rPr>
      </w:pPr>
      <w:r w:rsidRPr="00EC6034">
        <w:rPr>
          <w:i/>
        </w:rPr>
        <w:t>Theoretical framework</w:t>
      </w:r>
    </w:p>
    <w:p w:rsidR="0095447C" w:rsidRDefault="002516F1">
      <w:r>
        <w:t xml:space="preserve">The most common way of estimating the impact of economic union on trade </w:t>
      </w:r>
      <w:r w:rsidR="00BF790F">
        <w:t xml:space="preserve">is </w:t>
      </w:r>
      <w:r>
        <w:t>based on</w:t>
      </w:r>
      <w:r w:rsidR="00844D72">
        <w:t xml:space="preserve"> the</w:t>
      </w:r>
      <w:r>
        <w:t xml:space="preserve"> gravity model, which </w:t>
      </w:r>
      <w:r w:rsidR="001C54D4">
        <w:t xml:space="preserve">was first </w:t>
      </w:r>
      <w:r w:rsidR="0009461E">
        <w:t>proposed</w:t>
      </w:r>
      <w:r w:rsidR="001C54D4">
        <w:t xml:space="preserve"> by Jan Tinbergen in 1962. </w:t>
      </w:r>
      <w:r>
        <w:t>The key assumption of this model is that total amount of trade between two countries</w:t>
      </w:r>
      <w:r w:rsidR="001C54D4">
        <w:t xml:space="preserve"> (TR)</w:t>
      </w:r>
      <w:r>
        <w:t xml:space="preserve"> will be proportional to both countries GDP</w:t>
      </w:r>
      <w:r w:rsidR="001C54D4">
        <w:t xml:space="preserve"> (GDP</w:t>
      </w:r>
      <w:r w:rsidR="001C54D4" w:rsidRPr="001C54D4">
        <w:rPr>
          <w:vertAlign w:val="subscript"/>
        </w:rPr>
        <w:t>1</w:t>
      </w:r>
      <w:r w:rsidR="001C54D4">
        <w:t>, GDP</w:t>
      </w:r>
      <w:r w:rsidR="001C54D4" w:rsidRPr="001C54D4">
        <w:rPr>
          <w:vertAlign w:val="subscript"/>
        </w:rPr>
        <w:t>2</w:t>
      </w:r>
      <w:r w:rsidR="001C54D4">
        <w:t>)</w:t>
      </w:r>
      <w:r>
        <w:t xml:space="preserve"> taken in some power </w:t>
      </w:r>
      <w:r w:rsidRPr="004A74AA">
        <w:rPr>
          <w:i/>
        </w:rPr>
        <w:t>beta</w:t>
      </w:r>
      <w:r w:rsidR="007461F0">
        <w:t xml:space="preserve"> 1 and 2, and distance, taken in power </w:t>
      </w:r>
      <w:r w:rsidR="007461F0" w:rsidRPr="004A74AA">
        <w:rPr>
          <w:i/>
        </w:rPr>
        <w:t>beta</w:t>
      </w:r>
      <w:r w:rsidR="007461F0">
        <w:t xml:space="preserve"> 3, which is negative.</w:t>
      </w:r>
      <w:r w:rsidR="005841E3">
        <w:t xml:space="preserve"> </w:t>
      </w:r>
    </w:p>
    <w:p w:rsidR="005841E3" w:rsidRPr="00CE6268" w:rsidRDefault="00CE6268" w:rsidP="00CE6268">
      <w:pPr>
        <w:jc w:val="center"/>
      </w:pPr>
      <m:oMath>
        <m:r>
          <w:rPr>
            <w:rFonts w:ascii="Cambria Math" w:hAnsi="Cambria Math"/>
          </w:rPr>
          <m:t>TR=</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sup>
        </m:sSup>
        <m:sSubSup>
          <m:sSubSupPr>
            <m:ctrlPr>
              <w:rPr>
                <w:rFonts w:ascii="Cambria Math" w:hAnsi="Cambria Math"/>
                <w:i/>
              </w:rPr>
            </m:ctrlPr>
          </m:sSubSupPr>
          <m:e>
            <m:r>
              <w:rPr>
                <w:rFonts w:ascii="Cambria Math" w:hAnsi="Cambria Math"/>
              </w:rPr>
              <m:t>GDP</m:t>
            </m:r>
          </m:e>
          <m:sub>
            <m:r>
              <w:rPr>
                <w:rFonts w:ascii="Cambria Math" w:hAnsi="Cambria Math"/>
              </w:rPr>
              <m:t>1</m:t>
            </m:r>
          </m:sub>
          <m:sup>
            <m:sSub>
              <m:sSubPr>
                <m:ctrlPr>
                  <w:rPr>
                    <w:rFonts w:ascii="Cambria Math" w:hAnsi="Cambria Math"/>
                    <w:i/>
                  </w:rPr>
                </m:ctrlPr>
              </m:sSubPr>
              <m:e>
                <m:r>
                  <w:rPr>
                    <w:rFonts w:ascii="Cambria Math" w:hAnsi="Cambria Math"/>
                  </w:rPr>
                  <m:t>β</m:t>
                </m:r>
              </m:e>
              <m:sub>
                <m:r>
                  <w:rPr>
                    <w:rFonts w:ascii="Cambria Math" w:hAnsi="Cambria Math"/>
                  </w:rPr>
                  <m:t>1</m:t>
                </m:r>
              </m:sub>
            </m:sSub>
          </m:sup>
        </m:sSubSup>
        <m:sSubSup>
          <m:sSubSupPr>
            <m:ctrlPr>
              <w:rPr>
                <w:rFonts w:ascii="Cambria Math" w:hAnsi="Cambria Math"/>
                <w:i/>
              </w:rPr>
            </m:ctrlPr>
          </m:sSubSupPr>
          <m:e>
            <m:r>
              <w:rPr>
                <w:rFonts w:ascii="Cambria Math" w:hAnsi="Cambria Math"/>
              </w:rPr>
              <m:t>GDP</m:t>
            </m:r>
          </m:e>
          <m:sub>
            <m:r>
              <w:rPr>
                <w:rFonts w:ascii="Cambria Math" w:hAnsi="Cambria Math"/>
              </w:rPr>
              <m:t>2</m:t>
            </m:r>
          </m:sub>
          <m:sup>
            <m:sSub>
              <m:sSubPr>
                <m:ctrlPr>
                  <w:rPr>
                    <w:rFonts w:ascii="Cambria Math" w:hAnsi="Cambria Math"/>
                    <w:i/>
                  </w:rPr>
                </m:ctrlPr>
              </m:sSubPr>
              <m:e>
                <m:r>
                  <w:rPr>
                    <w:rFonts w:ascii="Cambria Math" w:hAnsi="Cambria Math"/>
                  </w:rPr>
                  <m:t>β</m:t>
                </m:r>
              </m:e>
              <m:sub>
                <m:r>
                  <w:rPr>
                    <w:rFonts w:ascii="Cambria Math" w:hAnsi="Cambria Math"/>
                  </w:rPr>
                  <m:t>2</m:t>
                </m:r>
              </m:sub>
            </m:sSub>
          </m:sup>
        </m:sSubSup>
        <m:sSup>
          <m:sSupPr>
            <m:ctrlPr>
              <w:rPr>
                <w:rFonts w:ascii="Cambria Math" w:hAnsi="Cambria Math"/>
                <w:i/>
              </w:rPr>
            </m:ctrlPr>
          </m:sSupPr>
          <m:e>
            <m:r>
              <w:rPr>
                <w:rFonts w:ascii="Cambria Math" w:hAnsi="Cambria Math"/>
              </w:rPr>
              <m:t>Dist</m:t>
            </m:r>
          </m:e>
          <m:sup>
            <m:sSub>
              <m:sSubPr>
                <m:ctrlPr>
                  <w:rPr>
                    <w:rFonts w:ascii="Cambria Math" w:hAnsi="Cambria Math"/>
                    <w:i/>
                  </w:rPr>
                </m:ctrlPr>
              </m:sSubPr>
              <m:e>
                <m:r>
                  <w:rPr>
                    <w:rFonts w:ascii="Cambria Math" w:hAnsi="Cambria Math"/>
                  </w:rPr>
                  <m:t>β</m:t>
                </m:r>
              </m:e>
              <m:sub>
                <m:r>
                  <w:rPr>
                    <w:rFonts w:ascii="Cambria Math" w:hAnsi="Cambria Math"/>
                  </w:rPr>
                  <m:t>3</m:t>
                </m:r>
              </m:sub>
            </m:sSub>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up>
        </m:sSup>
      </m:oMath>
      <w:r>
        <w:t xml:space="preserve">                      (1)</w:t>
      </w:r>
    </w:p>
    <w:p w:rsidR="0084386E" w:rsidRDefault="00844D72">
      <w:r>
        <w:t>Amount of trade between two countries depends not only on size of their GDP and distance between them, but also from other factors,</w:t>
      </w:r>
      <w:r w:rsidR="00BA34FB">
        <w:t xml:space="preserve"> which </w:t>
      </w:r>
      <w:r w:rsidR="00BF790F">
        <w:t xml:space="preserve">are </w:t>
      </w:r>
      <w:r w:rsidR="00BA34FB">
        <w:t>represented in the equation (1)</w:t>
      </w:r>
      <w:r w:rsidR="0084386E">
        <w:t xml:space="preserve"> by dummy variables</w:t>
      </w:r>
      <w:r w:rsidR="00BA34FB">
        <w:t xml:space="preserve"> </w:t>
      </w:r>
      <w:r w:rsidR="00BA34FB" w:rsidRPr="004A74AA">
        <w:rPr>
          <w:i/>
        </w:rPr>
        <w:t>beta</w:t>
      </w:r>
      <w:r w:rsidR="00BA34FB">
        <w:t xml:space="preserve"> </w:t>
      </w:r>
      <w:r w:rsidR="00A46B5D">
        <w:t>4</w:t>
      </w:r>
      <w:r>
        <w:t xml:space="preserve"> – </w:t>
      </w:r>
      <w:r w:rsidRPr="00844D72">
        <w:rPr>
          <w:i/>
        </w:rPr>
        <w:t>beta</w:t>
      </w:r>
      <w:r>
        <w:t xml:space="preserve"> </w:t>
      </w:r>
      <w:r w:rsidR="00BF790F">
        <w:t>n. The most important among them are</w:t>
      </w:r>
      <w:r w:rsidR="00BA34FB">
        <w:t xml:space="preserve"> g</w:t>
      </w:r>
      <w:r>
        <w:t>eographical (i.e.</w:t>
      </w:r>
      <w:r w:rsidR="00BA34FB">
        <w:t xml:space="preserve"> </w:t>
      </w:r>
      <w:r w:rsidR="00BF790F">
        <w:t xml:space="preserve">a </w:t>
      </w:r>
      <w:r w:rsidR="00BA34FB">
        <w:t>common border) and cultural (</w:t>
      </w:r>
      <w:r>
        <w:t xml:space="preserve">i.e. </w:t>
      </w:r>
      <w:r w:rsidR="00BF790F">
        <w:t xml:space="preserve">a </w:t>
      </w:r>
      <w:r w:rsidR="00BA34FB">
        <w:t xml:space="preserve">common language) factors. </w:t>
      </w:r>
      <w:r w:rsidR="0084386E">
        <w:t xml:space="preserve">If we </w:t>
      </w:r>
      <w:r w:rsidR="0084386E" w:rsidRPr="00BF790F">
        <w:rPr>
          <w:color w:val="000000" w:themeColor="text1"/>
        </w:rPr>
        <w:t>analyze panel data</w:t>
      </w:r>
      <w:r w:rsidR="004A74AA">
        <w:rPr>
          <w:color w:val="000000" w:themeColor="text1"/>
        </w:rPr>
        <w:t>,</w:t>
      </w:r>
      <w:r w:rsidR="0084386E" w:rsidRPr="00BF790F">
        <w:rPr>
          <w:color w:val="000000" w:themeColor="text1"/>
        </w:rPr>
        <w:t xml:space="preserve"> years </w:t>
      </w:r>
      <w:r w:rsidR="0084386E">
        <w:t>dummy variables</w:t>
      </w:r>
      <w:r w:rsidR="004A74AA">
        <w:t xml:space="preserve"> also</w:t>
      </w:r>
      <w:r w:rsidR="0084386E">
        <w:t xml:space="preserve"> could be</w:t>
      </w:r>
      <w:r w:rsidR="00BF790F">
        <w:t xml:space="preserve"> also</w:t>
      </w:r>
      <w:r w:rsidR="004D1A8A">
        <w:t xml:space="preserve"> included in</w:t>
      </w:r>
      <w:r w:rsidR="0084386E">
        <w:t xml:space="preserve"> the equation </w:t>
      </w:r>
      <w:r w:rsidR="004D1A8A">
        <w:t>as</w:t>
      </w:r>
      <w:r w:rsidR="0084386E">
        <w:t xml:space="preserve"> in this research. </w:t>
      </w:r>
      <w:r w:rsidR="00BF790F" w:rsidRPr="00BF790F">
        <w:rPr>
          <w:color w:val="000000" w:themeColor="text1"/>
        </w:rPr>
        <w:t>When we control all important factors, we can</w:t>
      </w:r>
      <w:r w:rsidR="0084386E" w:rsidRPr="00BF790F">
        <w:rPr>
          <w:color w:val="000000" w:themeColor="text1"/>
        </w:rPr>
        <w:t xml:space="preserve"> add </w:t>
      </w:r>
      <w:r w:rsidR="0084386E">
        <w:t>another dummy variable which represent</w:t>
      </w:r>
      <w:r w:rsidR="00BF790F">
        <w:t>s customs u</w:t>
      </w:r>
      <w:r w:rsidR="0084386E">
        <w:t xml:space="preserve">nion. By estimating this variable we could </w:t>
      </w:r>
      <w:r w:rsidR="0084386E" w:rsidRPr="0084386E">
        <w:t xml:space="preserve">quantitatively </w:t>
      </w:r>
      <w:r w:rsidR="00BF790F">
        <w:t>measure an impact of c</w:t>
      </w:r>
      <w:r w:rsidR="0084386E">
        <w:t>ustom</w:t>
      </w:r>
      <w:r w:rsidR="00BF790F">
        <w:t>s</w:t>
      </w:r>
      <w:r w:rsidR="0084386E">
        <w:t xml:space="preserve"> union on trade between countries.</w:t>
      </w:r>
    </w:p>
    <w:p w:rsidR="0084386E" w:rsidRPr="00BE16B7" w:rsidRDefault="0084386E">
      <w:r>
        <w:t>We could linearize equation (1) by taking logs from both sides:</w:t>
      </w:r>
    </w:p>
    <w:p w:rsidR="00EC6034" w:rsidRDefault="00414D51" w:rsidP="001C54D4">
      <w:pPr>
        <w:jc w:val="center"/>
      </w:p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TR</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GDP</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GDP</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(Dist)+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oMath>
      <w:r w:rsidR="001C54D4">
        <w:t xml:space="preserve">        (2)</w:t>
      </w:r>
    </w:p>
    <w:p w:rsidR="00EC6034" w:rsidRDefault="00EC6034">
      <w:r>
        <w:t>This equation coul</w:t>
      </w:r>
      <w:r w:rsidR="001C54D4">
        <w:t>d be estimated by OLS estimator</w:t>
      </w:r>
      <w:r>
        <w:t>.</w:t>
      </w:r>
    </w:p>
    <w:p w:rsidR="00C86B6B" w:rsidRPr="001721A4" w:rsidRDefault="00C86B6B">
      <w:r>
        <w:t xml:space="preserve">The problem of that original model is that </w:t>
      </w:r>
      <w:r w:rsidR="00BF790F">
        <w:t>it can</w:t>
      </w:r>
      <w:r>
        <w:t xml:space="preserve"> catch only pairwise factors, or factors that </w:t>
      </w:r>
      <w:r w:rsidR="004A74AA">
        <w:t>affect</w:t>
      </w:r>
      <w:r w:rsidR="00BF790F">
        <w:t xml:space="preserve"> both </w:t>
      </w:r>
      <w:r w:rsidR="001721A4">
        <w:t>trade</w:t>
      </w:r>
      <w:r w:rsidR="00BF790F">
        <w:t xml:space="preserve"> partners</w:t>
      </w:r>
      <w:r w:rsidR="001721A4">
        <w:t xml:space="preserve">. But countries differ not only by their GDP, but also </w:t>
      </w:r>
      <w:r w:rsidR="00BF790F">
        <w:t xml:space="preserve">by </w:t>
      </w:r>
      <w:r w:rsidR="004D1A8A">
        <w:t>other</w:t>
      </w:r>
      <w:r w:rsidR="001721A4">
        <w:t xml:space="preserve"> factors such as economic structure or government trade policy. In other words, this model predict</w:t>
      </w:r>
      <w:r w:rsidR="005F3F34">
        <w:t>s</w:t>
      </w:r>
      <w:r w:rsidR="001721A4">
        <w:t xml:space="preserve"> that if two countries A and B have </w:t>
      </w:r>
      <w:r w:rsidR="005F3F34">
        <w:t xml:space="preserve">the </w:t>
      </w:r>
      <w:r w:rsidR="001721A4">
        <w:t xml:space="preserve">same amount of GDP, similar geographical </w:t>
      </w:r>
      <w:r w:rsidR="005F3F34">
        <w:t>position and cultural patterns</w:t>
      </w:r>
      <w:r w:rsidR="001721A4">
        <w:t xml:space="preserve">, according to the model for any country C </w:t>
      </w:r>
      <w:r w:rsidR="005F3F34">
        <w:t xml:space="preserve">the </w:t>
      </w:r>
      <w:r w:rsidR="001721A4">
        <w:t xml:space="preserve">amount of trade between A and C should be equal to trade between B and </w:t>
      </w:r>
      <w:r w:rsidR="001721A4">
        <w:lastRenderedPageBreak/>
        <w:t xml:space="preserve">C, which is not supported by real data </w:t>
      </w:r>
      <w:r w:rsidR="004D1A8A">
        <w:rPr>
          <w:rStyle w:val="a9"/>
        </w:rPr>
        <w:footnoteReference w:id="2"/>
      </w:r>
      <w:r w:rsidR="001721A4">
        <w:t xml:space="preserve">. </w:t>
      </w:r>
      <w:r w:rsidR="00BA44FF">
        <w:t>To catch this effect of uniqueness of each country, we replace GDP by dummy variable for</w:t>
      </w:r>
      <w:r w:rsidR="005F3F34">
        <w:t xml:space="preserve"> each economy. In this survey</w:t>
      </w:r>
      <w:r w:rsidR="00BA44FF">
        <w:t xml:space="preserve"> </w:t>
      </w:r>
      <w:r w:rsidR="005F3F34">
        <w:t xml:space="preserve">both </w:t>
      </w:r>
      <w:r w:rsidR="00BA44FF">
        <w:t>GDP and country repr</w:t>
      </w:r>
      <w:r w:rsidR="005F3F34">
        <w:t>esentative variables methodologies were used</w:t>
      </w:r>
      <w:r w:rsidR="00BA44FF">
        <w:t>.</w:t>
      </w:r>
    </w:p>
    <w:p w:rsidR="00BA34FB" w:rsidRPr="00EC6034" w:rsidRDefault="00EC6034">
      <w:pPr>
        <w:rPr>
          <w:i/>
        </w:rPr>
      </w:pPr>
      <w:r w:rsidRPr="00EC6034">
        <w:rPr>
          <w:i/>
        </w:rPr>
        <w:t>Data set</w:t>
      </w:r>
      <w:r w:rsidR="0084386E" w:rsidRPr="00EC6034">
        <w:rPr>
          <w:i/>
        </w:rPr>
        <w:t xml:space="preserve">    </w:t>
      </w:r>
    </w:p>
    <w:p w:rsidR="00DC6ACE" w:rsidRDefault="005F3F34">
      <w:r>
        <w:t>During</w:t>
      </w:r>
      <w:r w:rsidR="005841E3">
        <w:t xml:space="preserve"> this research </w:t>
      </w:r>
      <w:r w:rsidR="00DC6ACE">
        <w:t>annual</w:t>
      </w:r>
      <w:r>
        <w:t xml:space="preserve"> trade data between CIS </w:t>
      </w:r>
      <w:r w:rsidR="00DC6ACE">
        <w:t>countries during</w:t>
      </w:r>
      <w:r w:rsidR="004D1A8A">
        <w:t xml:space="preserve"> the</w:t>
      </w:r>
      <w:r w:rsidR="00DC6ACE">
        <w:t xml:space="preserve"> period</w:t>
      </w:r>
      <w:r w:rsidR="005841E3">
        <w:t xml:space="preserve"> from 2001 to 2015</w:t>
      </w:r>
      <w:r>
        <w:t xml:space="preserve"> was analyzed</w:t>
      </w:r>
      <w:r w:rsidR="005841E3">
        <w:t>.</w:t>
      </w:r>
      <w:r w:rsidR="009C6DD2">
        <w:t xml:space="preserve"> The data is</w:t>
      </w:r>
      <w:r>
        <w:t xml:space="preserve"> provided by</w:t>
      </w:r>
      <w:r w:rsidR="009C6DD2" w:rsidRPr="00BE16B7">
        <w:t xml:space="preserve"> </w:t>
      </w:r>
      <w:r w:rsidR="009C6DD2">
        <w:t>the</w:t>
      </w:r>
      <w:r>
        <w:t xml:space="preserve"> International Trade Center. </w:t>
      </w:r>
      <w:r w:rsidR="0066191E">
        <w:t>T</w:t>
      </w:r>
      <w:r w:rsidR="006D3FC5">
        <w:t xml:space="preserve">aking </w:t>
      </w:r>
      <w:r w:rsidR="009D3303">
        <w:t xml:space="preserve">year 2001 as a </w:t>
      </w:r>
      <w:r>
        <w:t>starting point is reasonable: by</w:t>
      </w:r>
      <w:r w:rsidR="009D3303">
        <w:t xml:space="preserve"> 2001 most of the post</w:t>
      </w:r>
      <w:r>
        <w:t>-S</w:t>
      </w:r>
      <w:r w:rsidR="009652F6">
        <w:t>oviet countries finished the first</w:t>
      </w:r>
      <w:r w:rsidR="009D3303">
        <w:t xml:space="preserve"> period of their economic transition</w:t>
      </w:r>
      <w:r>
        <w:t>,</w:t>
      </w:r>
      <w:r w:rsidR="009D3303">
        <w:t xml:space="preserve"> at l</w:t>
      </w:r>
      <w:r>
        <w:t>east their GDR started to grow</w:t>
      </w:r>
      <w:r w:rsidR="009D3303">
        <w:t xml:space="preserve"> and thus </w:t>
      </w:r>
      <w:r>
        <w:t xml:space="preserve">they started to follow </w:t>
      </w:r>
      <w:r w:rsidR="009D3303">
        <w:t xml:space="preserve">the global </w:t>
      </w:r>
      <w:r w:rsidR="008F5328">
        <w:t xml:space="preserve">economy </w:t>
      </w:r>
      <w:r w:rsidR="009D3303">
        <w:t>trend.</w:t>
      </w:r>
    </w:p>
    <w:p w:rsidR="00DC6ACE" w:rsidRDefault="005B15B0">
      <w:r>
        <w:t>Choosing CIS countries</w:t>
      </w:r>
      <w:r w:rsidR="005F3F34">
        <w:t xml:space="preserve"> gives the following</w:t>
      </w:r>
      <w:r w:rsidR="00DC6ACE">
        <w:t xml:space="preserve"> advantages:</w:t>
      </w:r>
    </w:p>
    <w:p w:rsidR="005841E3" w:rsidRPr="00DE3461" w:rsidRDefault="005841E3">
      <w:r>
        <w:t xml:space="preserve"> </w:t>
      </w:r>
      <w:r w:rsidR="00DC6ACE">
        <w:t>1) Geography</w:t>
      </w:r>
      <w:r w:rsidR="005B15B0">
        <w:t>: all</w:t>
      </w:r>
      <w:r w:rsidR="00DE3461">
        <w:t xml:space="preserve"> former USSR countries </w:t>
      </w:r>
      <w:r w:rsidR="005F3F34">
        <w:t xml:space="preserve">are </w:t>
      </w:r>
      <w:r w:rsidR="00DE3461">
        <w:t>close geographically, so we do</w:t>
      </w:r>
      <w:r w:rsidR="005F3F34">
        <w:t xml:space="preserve"> no</w:t>
      </w:r>
      <w:r w:rsidR="00DE3461">
        <w:t xml:space="preserve">t need </w:t>
      </w:r>
      <w:r w:rsidR="005F3F34">
        <w:t>to use any</w:t>
      </w:r>
      <w:r w:rsidR="00DE3461">
        <w:t xml:space="preserve"> </w:t>
      </w:r>
      <w:r w:rsidR="005F3F34">
        <w:t xml:space="preserve">special </w:t>
      </w:r>
      <w:r w:rsidR="004D1A8A">
        <w:t>methodology to control the</w:t>
      </w:r>
      <w:r w:rsidR="005B15B0">
        <w:t xml:space="preserve"> influence of geographical factors on trade.</w:t>
      </w:r>
    </w:p>
    <w:p w:rsidR="00DC6ACE" w:rsidRDefault="00DC6ACE">
      <w:r>
        <w:t>2) Language/culture</w:t>
      </w:r>
      <w:r w:rsidR="005B15B0">
        <w:t xml:space="preserve">: all countries in the set </w:t>
      </w:r>
      <w:r w:rsidR="005F3F34">
        <w:t xml:space="preserve">are </w:t>
      </w:r>
      <w:r w:rsidR="005B15B0">
        <w:t xml:space="preserve">also close </w:t>
      </w:r>
      <w:r w:rsidR="00FE7A6E">
        <w:t>culturally;</w:t>
      </w:r>
      <w:r w:rsidR="005B15B0">
        <w:t xml:space="preserve"> at least most of CIS population could speak Russian and thus use it</w:t>
      </w:r>
      <w:r w:rsidR="00290882">
        <w:t xml:space="preserve"> as</w:t>
      </w:r>
      <w:r w:rsidR="005B15B0">
        <w:t xml:space="preserve"> </w:t>
      </w:r>
      <w:proofErr w:type="spellStart"/>
      <w:r w:rsidR="005B15B0" w:rsidRPr="005B15B0">
        <w:rPr>
          <w:i/>
        </w:rPr>
        <w:t>lingva</w:t>
      </w:r>
      <w:proofErr w:type="spellEnd"/>
      <w:r w:rsidR="005B15B0" w:rsidRPr="005B15B0">
        <w:rPr>
          <w:i/>
        </w:rPr>
        <w:t xml:space="preserve"> </w:t>
      </w:r>
      <w:proofErr w:type="gramStart"/>
      <w:r w:rsidR="005B15B0" w:rsidRPr="005B15B0">
        <w:rPr>
          <w:i/>
        </w:rPr>
        <w:t>franca</w:t>
      </w:r>
      <w:proofErr w:type="gramEnd"/>
      <w:r w:rsidR="005B15B0">
        <w:t>. So, we do</w:t>
      </w:r>
      <w:r w:rsidR="0029077D">
        <w:t xml:space="preserve"> no</w:t>
      </w:r>
      <w:r w:rsidR="005B15B0">
        <w:t>t need to control language/culture</w:t>
      </w:r>
      <w:r w:rsidR="0066191E">
        <w:t xml:space="preserve"> difference during this survey.</w:t>
      </w:r>
    </w:p>
    <w:p w:rsidR="0066191E" w:rsidRPr="0066191E" w:rsidRDefault="0029077D">
      <w:r>
        <w:t>GDP data was</w:t>
      </w:r>
      <w:r w:rsidR="0066191E">
        <w:t xml:space="preserve"> taken from </w:t>
      </w:r>
      <w:r>
        <w:t xml:space="preserve">the World Bank. Distance variable was constructed </w:t>
      </w:r>
      <w:r w:rsidR="0066191E">
        <w:t>as</w:t>
      </w:r>
      <w:r w:rsidR="009C6DD2">
        <w:t xml:space="preserve"> a sum of</w:t>
      </w:r>
      <w:r w:rsidR="0066191E">
        <w:t xml:space="preserve"> pairwise distances between cities representing major econ</w:t>
      </w:r>
      <w:r w:rsidR="009C6DD2">
        <w:t>omic regions of each country</w:t>
      </w:r>
      <w:r w:rsidR="0066191E">
        <w:t xml:space="preserve"> wei</w:t>
      </w:r>
      <w:r w:rsidR="004D1A8A">
        <w:t xml:space="preserve">ghted by population of </w:t>
      </w:r>
      <w:r w:rsidR="007003C7">
        <w:t>e</w:t>
      </w:r>
      <w:r w:rsidR="004D1A8A">
        <w:t>ach</w:t>
      </w:r>
      <w:r w:rsidR="007003C7">
        <w:t xml:space="preserve"> re</w:t>
      </w:r>
      <w:r w:rsidR="004D1A8A">
        <w:t>gion</w:t>
      </w:r>
      <w:r w:rsidR="0066191E">
        <w:t>.</w:t>
      </w:r>
    </w:p>
    <w:p w:rsidR="00AE56FA" w:rsidRPr="00AE56FA" w:rsidRDefault="009652F6">
      <w:r>
        <w:t>Also</w:t>
      </w:r>
      <w:r w:rsidR="007003C7">
        <w:t>,</w:t>
      </w:r>
      <w:r w:rsidR="00AE56FA">
        <w:t xml:space="preserve"> three countries – Uzbekistan, Turkmenistan and Tajikistan do</w:t>
      </w:r>
      <w:r w:rsidR="0029077D">
        <w:t xml:space="preserve"> no</w:t>
      </w:r>
      <w:r w:rsidR="00AE56FA">
        <w:t>t report th</w:t>
      </w:r>
      <w:r w:rsidR="0029077D">
        <w:t xml:space="preserve">eir trade data, so data of </w:t>
      </w:r>
      <w:r>
        <w:t>trade</w:t>
      </w:r>
      <w:r w:rsidR="00AE56FA">
        <w:t xml:space="preserve"> between those countries is unavailable</w:t>
      </w:r>
      <w:r w:rsidR="00534911">
        <w:t xml:space="preserve"> and</w:t>
      </w:r>
      <w:r w:rsidR="004D1A8A">
        <w:t xml:space="preserve"> thus</w:t>
      </w:r>
      <w:r w:rsidR="00534911">
        <w:t xml:space="preserve"> </w:t>
      </w:r>
      <w:r w:rsidR="00C86B6B">
        <w:t>omitted</w:t>
      </w:r>
      <w:r w:rsidR="004D1A8A">
        <w:t xml:space="preserve"> from</w:t>
      </w:r>
      <w:r w:rsidR="00534911">
        <w:t xml:space="preserve"> this survey</w:t>
      </w:r>
      <w:r w:rsidR="0029077D">
        <w:t xml:space="preserve">, and </w:t>
      </w:r>
      <w:r w:rsidR="00AE56FA">
        <w:t xml:space="preserve">trade </w:t>
      </w:r>
      <w:r w:rsidR="0029077D">
        <w:t xml:space="preserve">data </w:t>
      </w:r>
      <w:r w:rsidR="00AE56FA">
        <w:t>between those countrie</w:t>
      </w:r>
      <w:r w:rsidR="0029077D">
        <w:t xml:space="preserve">s and other countries is mirror </w:t>
      </w:r>
      <w:r w:rsidR="00AE56FA">
        <w:t xml:space="preserve">data. Moreover, </w:t>
      </w:r>
      <w:r w:rsidR="000B5FA5">
        <w:t>relations between Azerbaijan and Armenia are</w:t>
      </w:r>
      <w:r w:rsidR="00AE56FA">
        <w:t xml:space="preserve"> </w:t>
      </w:r>
      <w:r w:rsidR="00534911">
        <w:t>hostile</w:t>
      </w:r>
      <w:r w:rsidR="0029077D">
        <w:t>, thus</w:t>
      </w:r>
      <w:r w:rsidR="00AE56FA">
        <w:t xml:space="preserve"> they do</w:t>
      </w:r>
      <w:r w:rsidR="0029077D">
        <w:t xml:space="preserve"> no</w:t>
      </w:r>
      <w:r w:rsidR="00AE56FA">
        <w:t>t have any b</w:t>
      </w:r>
      <w:r w:rsidR="00C86B6B">
        <w:t>ilateral trade, or at least do</w:t>
      </w:r>
      <w:r w:rsidR="0029077D">
        <w:t xml:space="preserve"> no</w:t>
      </w:r>
      <w:r w:rsidR="00AE56FA">
        <w:t>t report i</w:t>
      </w:r>
      <w:r w:rsidR="0029077D">
        <w:t>t, so this</w:t>
      </w:r>
      <w:r w:rsidR="00C86B6B">
        <w:t xml:space="preserve"> data is also omitted</w:t>
      </w:r>
      <w:r w:rsidR="00AE56FA">
        <w:t xml:space="preserve">. </w:t>
      </w:r>
      <w:r w:rsidR="004D1A8A">
        <w:t>Finally</w:t>
      </w:r>
      <w:r w:rsidR="0029077D">
        <w:t xml:space="preserve">, in </w:t>
      </w:r>
      <w:r w:rsidR="000B5FA5">
        <w:t>2003 and 2004 total amount of trade between Armenia and Tajikistan (reported by Armenia) was less than $1000, so</w:t>
      </w:r>
      <w:r w:rsidR="00B359E3">
        <w:t xml:space="preserve"> to avoid negative</w:t>
      </w:r>
      <w:r w:rsidR="0029077D">
        <w:t xml:space="preserve"> log</w:t>
      </w:r>
      <w:r w:rsidR="00B359E3">
        <w:t xml:space="preserve"> numbers tho</w:t>
      </w:r>
      <w:r w:rsidR="000B5FA5">
        <w:t>s</w:t>
      </w:r>
      <w:r w:rsidR="00B359E3">
        <w:t>e</w:t>
      </w:r>
      <w:r w:rsidR="0029077D">
        <w:t xml:space="preserve"> two observations were</w:t>
      </w:r>
      <w:r w:rsidR="000B5FA5">
        <w:t xml:space="preserve"> </w:t>
      </w:r>
      <w:r>
        <w:t xml:space="preserve">adjusted to </w:t>
      </w:r>
      <w:r w:rsidR="007003C7">
        <w:t>1000</w:t>
      </w:r>
      <w:r>
        <w:t xml:space="preserve">. </w:t>
      </w:r>
      <w:r w:rsidRPr="009C6DD2">
        <w:rPr>
          <w:color w:val="000000" w:themeColor="text1"/>
        </w:rPr>
        <w:t xml:space="preserve">So, </w:t>
      </w:r>
      <w:r w:rsidR="00BA44FF" w:rsidRPr="009C6DD2">
        <w:rPr>
          <w:color w:val="000000" w:themeColor="text1"/>
        </w:rPr>
        <w:t xml:space="preserve">there </w:t>
      </w:r>
      <w:r w:rsidR="007003C7" w:rsidRPr="009C6DD2">
        <w:rPr>
          <w:color w:val="000000" w:themeColor="text1"/>
        </w:rPr>
        <w:t>are</w:t>
      </w:r>
      <w:r w:rsidRPr="009C6DD2">
        <w:rPr>
          <w:color w:val="000000" w:themeColor="text1"/>
        </w:rPr>
        <w:t xml:space="preserve"> 930</w:t>
      </w:r>
      <w:r w:rsidR="000B5FA5" w:rsidRPr="009C6DD2">
        <w:rPr>
          <w:color w:val="000000" w:themeColor="text1"/>
        </w:rPr>
        <w:t xml:space="preserve"> observations at all</w:t>
      </w:r>
      <w:r w:rsidR="00F240A5">
        <w:rPr>
          <w:color w:val="000000" w:themeColor="text1"/>
        </w:rPr>
        <w:t xml:space="preserve"> (15 years * (12 * 11) / 2</w:t>
      </w:r>
      <w:r w:rsidR="009C6DD2">
        <w:rPr>
          <w:color w:val="000000" w:themeColor="text1"/>
        </w:rPr>
        <w:t xml:space="preserve"> pairs of countries – 60 omitted observations)</w:t>
      </w:r>
      <w:r w:rsidR="000B5FA5" w:rsidRPr="009C6DD2">
        <w:rPr>
          <w:color w:val="000000" w:themeColor="text1"/>
        </w:rPr>
        <w:t>.</w:t>
      </w:r>
    </w:p>
    <w:p w:rsidR="0084386E" w:rsidRDefault="00EC6034">
      <w:pPr>
        <w:rPr>
          <w:i/>
        </w:rPr>
      </w:pPr>
      <w:r w:rsidRPr="00EC6034">
        <w:rPr>
          <w:i/>
        </w:rPr>
        <w:t>Regression results</w:t>
      </w:r>
    </w:p>
    <w:p w:rsidR="006642B6" w:rsidRDefault="00C42CC2">
      <w:r>
        <w:t xml:space="preserve">Regression results </w:t>
      </w:r>
      <w:r w:rsidR="00531AED">
        <w:t xml:space="preserve">are </w:t>
      </w:r>
      <w:r>
        <w:t xml:space="preserve">presented in table 2. </w:t>
      </w:r>
      <w:r w:rsidR="00531AED">
        <w:t xml:space="preserve">As </w:t>
      </w:r>
      <w:r w:rsidR="006642B6">
        <w:t>menti</w:t>
      </w:r>
      <w:r w:rsidR="00531AED">
        <w:t xml:space="preserve">oned before, two </w:t>
      </w:r>
      <w:r w:rsidR="006642B6">
        <w:t>gravity model</w:t>
      </w:r>
      <w:r w:rsidR="00531AED">
        <w:t xml:space="preserve"> types were used</w:t>
      </w:r>
      <w:r w:rsidR="006642B6">
        <w:t xml:space="preserve"> to estimate trade bet</w:t>
      </w:r>
      <w:r w:rsidR="00561E08">
        <w:t>ween CIS countries. Model 1 (column</w:t>
      </w:r>
      <w:r w:rsidR="006642B6">
        <w:t xml:space="preserve">s 1 to 3) is GDP-based model, model </w:t>
      </w:r>
      <w:r w:rsidR="00561E08">
        <w:t>2 (column</w:t>
      </w:r>
      <w:r w:rsidR="006642B6">
        <w:t xml:space="preserve">s 4 to 6) is </w:t>
      </w:r>
      <w:r w:rsidR="00531AED">
        <w:t>b</w:t>
      </w:r>
      <w:r w:rsidR="006642B6">
        <w:t>ased</w:t>
      </w:r>
      <w:r w:rsidR="00531AED">
        <w:t xml:space="preserve"> on country representative dummies</w:t>
      </w:r>
      <w:r w:rsidR="006642B6">
        <w:t>.</w:t>
      </w:r>
      <w:r w:rsidR="003D7EC9">
        <w:t xml:space="preserve"> Result of</w:t>
      </w:r>
      <w:r w:rsidR="004D1A8A">
        <w:t xml:space="preserve"> the</w:t>
      </w:r>
      <w:r w:rsidR="003D7EC9">
        <w:t xml:space="preserve"> estimation</w:t>
      </w:r>
      <w:r w:rsidR="007003C7">
        <w:t xml:space="preserve"> of</w:t>
      </w:r>
      <w:r w:rsidR="003D7EC9">
        <w:t xml:space="preserve"> model 1</w:t>
      </w:r>
      <w:r w:rsidR="006642B6">
        <w:t xml:space="preserve"> without dummy variables for custom or economic union</w:t>
      </w:r>
      <w:r w:rsidR="00531AED">
        <w:t xml:space="preserve"> presented</w:t>
      </w:r>
      <w:r w:rsidR="00561E08">
        <w:t xml:space="preserve"> in column</w:t>
      </w:r>
      <w:r w:rsidR="003D7EC9">
        <w:t xml:space="preserve"> 1</w:t>
      </w:r>
      <w:r w:rsidR="006642B6">
        <w:t>. It consist</w:t>
      </w:r>
      <w:r w:rsidR="004D1A8A">
        <w:t>s</w:t>
      </w:r>
      <w:r w:rsidR="00C50EA8" w:rsidRPr="00C50EA8">
        <w:t xml:space="preserve"> </w:t>
      </w:r>
      <w:r w:rsidR="00C50EA8">
        <w:t>of</w:t>
      </w:r>
      <w:r w:rsidR="006642B6">
        <w:t xml:space="preserve"> GDP of </w:t>
      </w:r>
      <w:r w:rsidR="004D1A8A">
        <w:t>larger</w:t>
      </w:r>
      <w:r w:rsidR="006642B6">
        <w:t xml:space="preserve"> and sm</w:t>
      </w:r>
      <w:r w:rsidR="00C50EA8">
        <w:t>aller partner</w:t>
      </w:r>
      <w:r w:rsidR="009C6DD2">
        <w:t>s</w:t>
      </w:r>
      <w:r w:rsidR="00C50EA8">
        <w:t xml:space="preserve"> in logarithm form;</w:t>
      </w:r>
      <w:r w:rsidR="006642B6">
        <w:t xml:space="preserve"> </w:t>
      </w:r>
      <w:r w:rsidR="00C50EA8">
        <w:t xml:space="preserve">distance in log form; dummy variable for common border; dummy variable for </w:t>
      </w:r>
      <w:r w:rsidR="009C6DD2">
        <w:t xml:space="preserve">pair of </w:t>
      </w:r>
      <w:r w:rsidR="00C50EA8">
        <w:t>countries</w:t>
      </w:r>
      <w:r w:rsidR="009C6DD2">
        <w:t xml:space="preserve"> that have possible sea trade route</w:t>
      </w:r>
      <w:r w:rsidR="00634FBF">
        <w:t>s</w:t>
      </w:r>
      <w:r w:rsidR="00C50EA8">
        <w:t>, but doesn’t have a common border (only three pairs of countries); dummy variable for trade partners from same region (Europe, Caucasus and Middle Asia)</w:t>
      </w:r>
      <w:r w:rsidR="003D7EC9" w:rsidRPr="003D7EC9">
        <w:t xml:space="preserve"> </w:t>
      </w:r>
      <w:r w:rsidR="003D7EC9">
        <w:t>but without common border</w:t>
      </w:r>
      <w:r w:rsidR="00C50EA8">
        <w:t xml:space="preserve">; </w:t>
      </w:r>
      <w:r w:rsidR="003D7EC9">
        <w:t xml:space="preserve">dummy variable for each year (result of estimation presented </w:t>
      </w:r>
      <w:r w:rsidR="003D7EC9">
        <w:lastRenderedPageBreak/>
        <w:t xml:space="preserve">separately in table 3); </w:t>
      </w:r>
      <w:r w:rsidR="00C50EA8">
        <w:t xml:space="preserve">GDP per capita of </w:t>
      </w:r>
      <w:r w:rsidR="003C07FC">
        <w:t>large</w:t>
      </w:r>
      <w:r w:rsidR="00C50EA8">
        <w:t>r and smaller partner, which is important characteristic of a country; dummy variable for trade between Russia, Kazakhstan and Belarus.</w:t>
      </w:r>
    </w:p>
    <w:p w:rsidR="00C50EA8" w:rsidRDefault="00561E08">
      <w:r>
        <w:t>In column</w:t>
      </w:r>
      <w:r w:rsidR="00DF3C41">
        <w:t>s 2 and 3 the Union trade variables is</w:t>
      </w:r>
      <w:r w:rsidR="00C50EA8">
        <w:t xml:space="preserve"> estimate</w:t>
      </w:r>
      <w:r w:rsidR="00DF3C41">
        <w:t>d</w:t>
      </w:r>
      <w:r>
        <w:t>: column</w:t>
      </w:r>
      <w:r w:rsidR="00634FBF">
        <w:t xml:space="preserve"> 2</w:t>
      </w:r>
      <w:r w:rsidR="00634FBF" w:rsidRPr="00634FBF">
        <w:t xml:space="preserve"> -</w:t>
      </w:r>
      <w:r w:rsidR="00DF3C41">
        <w:t xml:space="preserve"> dummy variable for overall U</w:t>
      </w:r>
      <w:r w:rsidR="00C50EA8">
        <w:t xml:space="preserve">nion (this dummy is 1 for trade between Russia, Kazakhstan and Belarus from year 2011 to year 2015) and </w:t>
      </w:r>
      <w:r>
        <w:t>column</w:t>
      </w:r>
      <w:r w:rsidR="00C50EA8">
        <w:t xml:space="preserve"> 3 – five dummy variables for each year from 2011 to 2015.</w:t>
      </w:r>
    </w:p>
    <w:p w:rsidR="00C50EA8" w:rsidRPr="00C50EA8" w:rsidRDefault="00561E08">
      <w:r>
        <w:t>Column</w:t>
      </w:r>
      <w:r w:rsidR="003D7EC9">
        <w:t xml:space="preserve"> 4 contains the result o</w:t>
      </w:r>
      <w:r w:rsidR="00634FBF">
        <w:t>f model 2 estimation. It consists of</w:t>
      </w:r>
      <w:r w:rsidR="003D7EC9">
        <w:t xml:space="preserve"> 11 dummy variable</w:t>
      </w:r>
      <w:r w:rsidR="009C6DD2">
        <w:t>s</w:t>
      </w:r>
      <w:r w:rsidR="003D7EC9">
        <w:t xml:space="preserve"> – one variable for each country (Kirgizstan as a basis). Since GDP and GDP per c</w:t>
      </w:r>
      <w:r w:rsidR="00634FBF">
        <w:t>apita are characteristics of a</w:t>
      </w:r>
      <w:r w:rsidR="003D7EC9">
        <w:t xml:space="preserve"> country, they removed from this model (being put they become insignificant). All the other variables are similar to model 1.</w:t>
      </w:r>
    </w:p>
    <w:p w:rsidR="00CA7640" w:rsidRDefault="00CA7640">
      <w:r>
        <w:br w:type="page"/>
      </w:r>
    </w:p>
    <w:p w:rsidR="009D3303" w:rsidRDefault="007E34CC">
      <w:r>
        <w:lastRenderedPageBreak/>
        <w:t>Table 2</w:t>
      </w:r>
      <w:r w:rsidR="00BB03E1">
        <w:t>:</w:t>
      </w:r>
      <w:r w:rsidR="008F5328">
        <w:t xml:space="preserve"> </w:t>
      </w:r>
      <w:r w:rsidR="00CC4D1F">
        <w:t>Regression results</w:t>
      </w:r>
    </w:p>
    <w:tbl>
      <w:tblPr>
        <w:tblStyle w:val="a3"/>
        <w:tblW w:w="11598" w:type="dxa"/>
        <w:tblInd w:w="-1152" w:type="dxa"/>
        <w:tblLook w:val="04A0" w:firstRow="1" w:lastRow="0" w:firstColumn="1" w:lastColumn="0" w:noHBand="0" w:noVBand="1"/>
      </w:tblPr>
      <w:tblGrid>
        <w:gridCol w:w="1800"/>
        <w:gridCol w:w="1617"/>
        <w:gridCol w:w="1534"/>
        <w:gridCol w:w="1440"/>
        <w:gridCol w:w="1423"/>
        <w:gridCol w:w="1817"/>
        <w:gridCol w:w="1967"/>
      </w:tblGrid>
      <w:tr w:rsidR="008E588B" w:rsidTr="0066191E">
        <w:tc>
          <w:tcPr>
            <w:tcW w:w="1800" w:type="dxa"/>
            <w:tcBorders>
              <w:top w:val="nil"/>
              <w:left w:val="nil"/>
              <w:bottom w:val="single" w:sz="4" w:space="0" w:color="auto"/>
            </w:tcBorders>
          </w:tcPr>
          <w:p w:rsidR="005312A2" w:rsidRDefault="005312A2"/>
        </w:tc>
        <w:tc>
          <w:tcPr>
            <w:tcW w:w="4591" w:type="dxa"/>
            <w:gridSpan w:val="3"/>
          </w:tcPr>
          <w:p w:rsidR="005312A2" w:rsidRDefault="005312A2" w:rsidP="00B359E3">
            <w:pPr>
              <w:jc w:val="center"/>
            </w:pPr>
            <w:r>
              <w:t>Countries represented by GDP</w:t>
            </w:r>
          </w:p>
        </w:tc>
        <w:tc>
          <w:tcPr>
            <w:tcW w:w="5207" w:type="dxa"/>
            <w:gridSpan w:val="3"/>
          </w:tcPr>
          <w:p w:rsidR="005312A2" w:rsidRDefault="005312A2" w:rsidP="00B359E3">
            <w:pPr>
              <w:jc w:val="center"/>
            </w:pPr>
            <w:r>
              <w:t>Countries represented by dummy variables</w:t>
            </w:r>
          </w:p>
        </w:tc>
      </w:tr>
      <w:tr w:rsidR="00E877B6" w:rsidTr="0066191E">
        <w:tc>
          <w:tcPr>
            <w:tcW w:w="1800" w:type="dxa"/>
            <w:tcBorders>
              <w:top w:val="single" w:sz="4" w:space="0" w:color="auto"/>
            </w:tcBorders>
          </w:tcPr>
          <w:p w:rsidR="005312A2" w:rsidRPr="006478AD" w:rsidRDefault="006478AD" w:rsidP="006478AD">
            <w:r>
              <w:t>Bi</w:t>
            </w:r>
            <w:r w:rsidR="005312A2">
              <w:t>lateral trade amount</w:t>
            </w:r>
            <w:r w:rsidR="009652F6">
              <w:t xml:space="preserve">, </w:t>
            </w:r>
            <w:r>
              <w:t>log</w:t>
            </w:r>
          </w:p>
        </w:tc>
        <w:tc>
          <w:tcPr>
            <w:tcW w:w="1617" w:type="dxa"/>
          </w:tcPr>
          <w:p w:rsidR="005312A2" w:rsidRDefault="00DE5117" w:rsidP="00B359E3">
            <w:pPr>
              <w:jc w:val="center"/>
            </w:pPr>
            <w:r>
              <w:t xml:space="preserve">(1) </w:t>
            </w:r>
            <w:r w:rsidR="005312A2">
              <w:t>Model</w:t>
            </w:r>
          </w:p>
        </w:tc>
        <w:tc>
          <w:tcPr>
            <w:tcW w:w="1534" w:type="dxa"/>
          </w:tcPr>
          <w:p w:rsidR="005312A2" w:rsidRDefault="00DE5117" w:rsidP="00B359E3">
            <w:pPr>
              <w:jc w:val="center"/>
            </w:pPr>
            <w:r>
              <w:t xml:space="preserve">(2) </w:t>
            </w:r>
            <w:r w:rsidR="005312A2">
              <w:t>Overall impact</w:t>
            </w:r>
          </w:p>
        </w:tc>
        <w:tc>
          <w:tcPr>
            <w:tcW w:w="1440" w:type="dxa"/>
          </w:tcPr>
          <w:p w:rsidR="005312A2" w:rsidRDefault="00DE5117" w:rsidP="00B359E3">
            <w:pPr>
              <w:jc w:val="center"/>
            </w:pPr>
            <w:r>
              <w:t xml:space="preserve">(3) </w:t>
            </w:r>
            <w:r w:rsidR="005312A2">
              <w:t>Year-by-year impact</w:t>
            </w:r>
          </w:p>
        </w:tc>
        <w:tc>
          <w:tcPr>
            <w:tcW w:w="1423" w:type="dxa"/>
          </w:tcPr>
          <w:p w:rsidR="005312A2" w:rsidRDefault="00DE5117" w:rsidP="00B359E3">
            <w:pPr>
              <w:jc w:val="center"/>
            </w:pPr>
            <w:r>
              <w:t xml:space="preserve">(4) </w:t>
            </w:r>
            <w:r w:rsidR="009652F6">
              <w:t>Model</w:t>
            </w:r>
          </w:p>
        </w:tc>
        <w:tc>
          <w:tcPr>
            <w:tcW w:w="1817" w:type="dxa"/>
          </w:tcPr>
          <w:p w:rsidR="005312A2" w:rsidRDefault="00DE5117" w:rsidP="00B359E3">
            <w:pPr>
              <w:jc w:val="center"/>
            </w:pPr>
            <w:r>
              <w:t xml:space="preserve">(5) </w:t>
            </w:r>
            <w:r w:rsidR="005312A2">
              <w:t>Overall impact</w:t>
            </w:r>
          </w:p>
        </w:tc>
        <w:tc>
          <w:tcPr>
            <w:tcW w:w="1967" w:type="dxa"/>
          </w:tcPr>
          <w:p w:rsidR="005312A2" w:rsidRDefault="00DE5117" w:rsidP="00B359E3">
            <w:pPr>
              <w:jc w:val="center"/>
            </w:pPr>
            <w:r>
              <w:t xml:space="preserve">(6) </w:t>
            </w:r>
            <w:r w:rsidR="005312A2">
              <w:t>Year-by-year impact</w:t>
            </w:r>
          </w:p>
        </w:tc>
      </w:tr>
      <w:tr w:rsidR="00E877B6" w:rsidTr="0066191E">
        <w:tc>
          <w:tcPr>
            <w:tcW w:w="1800" w:type="dxa"/>
          </w:tcPr>
          <w:p w:rsidR="005312A2" w:rsidRPr="0066191E" w:rsidRDefault="00B359E3">
            <w:pPr>
              <w:rPr>
                <w:b/>
                <w:sz w:val="20"/>
                <w:szCs w:val="20"/>
              </w:rPr>
            </w:pPr>
            <w:r w:rsidRPr="0066191E">
              <w:rPr>
                <w:b/>
                <w:sz w:val="20"/>
                <w:szCs w:val="20"/>
              </w:rPr>
              <w:t>Trade within the Union</w:t>
            </w:r>
          </w:p>
        </w:tc>
        <w:tc>
          <w:tcPr>
            <w:tcW w:w="1617" w:type="dxa"/>
          </w:tcPr>
          <w:p w:rsidR="005312A2" w:rsidRPr="0066191E" w:rsidRDefault="005312A2" w:rsidP="00B359E3">
            <w:pPr>
              <w:jc w:val="center"/>
              <w:rPr>
                <w:b/>
                <w:sz w:val="20"/>
                <w:szCs w:val="20"/>
              </w:rPr>
            </w:pPr>
          </w:p>
        </w:tc>
        <w:tc>
          <w:tcPr>
            <w:tcW w:w="1534" w:type="dxa"/>
          </w:tcPr>
          <w:p w:rsidR="00ED3A3D" w:rsidRPr="0066191E" w:rsidRDefault="00ED3A3D" w:rsidP="00B359E3">
            <w:pPr>
              <w:jc w:val="center"/>
              <w:rPr>
                <w:b/>
                <w:sz w:val="20"/>
                <w:szCs w:val="20"/>
              </w:rPr>
            </w:pPr>
            <w:r w:rsidRPr="0066191E">
              <w:rPr>
                <w:b/>
                <w:sz w:val="20"/>
                <w:szCs w:val="20"/>
              </w:rPr>
              <w:t>0.0379207</w:t>
            </w:r>
          </w:p>
          <w:p w:rsidR="005312A2" w:rsidRPr="0066191E" w:rsidRDefault="00ED3A3D" w:rsidP="00B359E3">
            <w:pPr>
              <w:jc w:val="center"/>
              <w:rPr>
                <w:b/>
                <w:sz w:val="20"/>
                <w:szCs w:val="20"/>
              </w:rPr>
            </w:pPr>
            <w:r w:rsidRPr="0066191E">
              <w:rPr>
                <w:b/>
                <w:sz w:val="20"/>
                <w:szCs w:val="20"/>
              </w:rPr>
              <w:t xml:space="preserve">   (0.3794103)</w:t>
            </w:r>
          </w:p>
        </w:tc>
        <w:tc>
          <w:tcPr>
            <w:tcW w:w="1440" w:type="dxa"/>
          </w:tcPr>
          <w:p w:rsidR="005312A2" w:rsidRPr="0066191E" w:rsidRDefault="005312A2" w:rsidP="00B359E3">
            <w:pPr>
              <w:jc w:val="center"/>
              <w:rPr>
                <w:b/>
                <w:sz w:val="20"/>
                <w:szCs w:val="20"/>
              </w:rPr>
            </w:pPr>
          </w:p>
        </w:tc>
        <w:tc>
          <w:tcPr>
            <w:tcW w:w="1423" w:type="dxa"/>
          </w:tcPr>
          <w:p w:rsidR="005312A2" w:rsidRPr="0066191E" w:rsidRDefault="005312A2" w:rsidP="00B359E3">
            <w:pPr>
              <w:jc w:val="center"/>
              <w:rPr>
                <w:b/>
                <w:sz w:val="20"/>
                <w:szCs w:val="20"/>
              </w:rPr>
            </w:pPr>
          </w:p>
        </w:tc>
        <w:tc>
          <w:tcPr>
            <w:tcW w:w="1817" w:type="dxa"/>
          </w:tcPr>
          <w:p w:rsidR="005D21D9" w:rsidRPr="0066191E" w:rsidRDefault="005D21D9" w:rsidP="00B359E3">
            <w:pPr>
              <w:jc w:val="center"/>
              <w:rPr>
                <w:b/>
                <w:sz w:val="20"/>
                <w:szCs w:val="20"/>
              </w:rPr>
            </w:pPr>
            <w:r w:rsidRPr="0066191E">
              <w:rPr>
                <w:b/>
                <w:sz w:val="20"/>
                <w:szCs w:val="20"/>
              </w:rPr>
              <w:t>0.0181565</w:t>
            </w:r>
          </w:p>
          <w:p w:rsidR="005312A2" w:rsidRPr="0066191E" w:rsidRDefault="005D21D9" w:rsidP="00B359E3">
            <w:pPr>
              <w:jc w:val="center"/>
              <w:rPr>
                <w:b/>
                <w:sz w:val="20"/>
                <w:szCs w:val="20"/>
              </w:rPr>
            </w:pPr>
            <w:r w:rsidRPr="0066191E">
              <w:rPr>
                <w:b/>
                <w:sz w:val="20"/>
                <w:szCs w:val="20"/>
              </w:rPr>
              <w:t xml:space="preserve">   (0.2861738)</w:t>
            </w:r>
          </w:p>
        </w:tc>
        <w:tc>
          <w:tcPr>
            <w:tcW w:w="1967" w:type="dxa"/>
          </w:tcPr>
          <w:p w:rsidR="005312A2" w:rsidRPr="0066191E" w:rsidRDefault="005312A2" w:rsidP="00B359E3">
            <w:pPr>
              <w:jc w:val="center"/>
              <w:rPr>
                <w:b/>
                <w:sz w:val="20"/>
                <w:szCs w:val="20"/>
              </w:rPr>
            </w:pPr>
          </w:p>
        </w:tc>
      </w:tr>
      <w:tr w:rsidR="00E877B6" w:rsidTr="0066191E">
        <w:tc>
          <w:tcPr>
            <w:tcW w:w="1800" w:type="dxa"/>
          </w:tcPr>
          <w:p w:rsidR="005312A2" w:rsidRPr="0066191E" w:rsidRDefault="00CA7640">
            <w:pPr>
              <w:rPr>
                <w:b/>
                <w:sz w:val="20"/>
                <w:szCs w:val="20"/>
              </w:rPr>
            </w:pPr>
            <w:r w:rsidRPr="0066191E">
              <w:rPr>
                <w:b/>
                <w:sz w:val="20"/>
                <w:szCs w:val="20"/>
              </w:rPr>
              <w:t>Trade within the Union, year 2011</w:t>
            </w:r>
          </w:p>
        </w:tc>
        <w:tc>
          <w:tcPr>
            <w:tcW w:w="1617" w:type="dxa"/>
          </w:tcPr>
          <w:p w:rsidR="005312A2" w:rsidRPr="0066191E" w:rsidRDefault="005312A2" w:rsidP="00B359E3">
            <w:pPr>
              <w:jc w:val="center"/>
              <w:rPr>
                <w:b/>
                <w:sz w:val="20"/>
                <w:szCs w:val="20"/>
              </w:rPr>
            </w:pPr>
          </w:p>
        </w:tc>
        <w:tc>
          <w:tcPr>
            <w:tcW w:w="1534" w:type="dxa"/>
          </w:tcPr>
          <w:p w:rsidR="005312A2" w:rsidRPr="0066191E" w:rsidRDefault="005312A2" w:rsidP="00B359E3">
            <w:pPr>
              <w:jc w:val="center"/>
              <w:rPr>
                <w:b/>
                <w:sz w:val="20"/>
                <w:szCs w:val="20"/>
              </w:rPr>
            </w:pPr>
          </w:p>
        </w:tc>
        <w:tc>
          <w:tcPr>
            <w:tcW w:w="1440" w:type="dxa"/>
          </w:tcPr>
          <w:p w:rsidR="00CA7640" w:rsidRPr="0066191E" w:rsidRDefault="00CA7640" w:rsidP="00B359E3">
            <w:pPr>
              <w:jc w:val="center"/>
              <w:rPr>
                <w:b/>
                <w:sz w:val="20"/>
                <w:szCs w:val="20"/>
              </w:rPr>
            </w:pPr>
            <w:r w:rsidRPr="0066191E">
              <w:rPr>
                <w:b/>
                <w:sz w:val="20"/>
                <w:szCs w:val="20"/>
              </w:rPr>
              <w:t>-0.0465579</w:t>
            </w:r>
          </w:p>
          <w:p w:rsidR="005312A2" w:rsidRPr="0066191E" w:rsidRDefault="00CA7640" w:rsidP="00B359E3">
            <w:pPr>
              <w:jc w:val="center"/>
              <w:rPr>
                <w:b/>
                <w:sz w:val="20"/>
                <w:szCs w:val="20"/>
              </w:rPr>
            </w:pPr>
            <w:r w:rsidRPr="0066191E">
              <w:rPr>
                <w:b/>
                <w:sz w:val="20"/>
                <w:szCs w:val="20"/>
              </w:rPr>
              <w:t>(0.7280831)</w:t>
            </w:r>
          </w:p>
        </w:tc>
        <w:tc>
          <w:tcPr>
            <w:tcW w:w="1423" w:type="dxa"/>
          </w:tcPr>
          <w:p w:rsidR="005312A2" w:rsidRPr="0066191E" w:rsidRDefault="005312A2" w:rsidP="00B359E3">
            <w:pPr>
              <w:jc w:val="center"/>
              <w:rPr>
                <w:b/>
                <w:sz w:val="20"/>
                <w:szCs w:val="20"/>
              </w:rPr>
            </w:pPr>
          </w:p>
        </w:tc>
        <w:tc>
          <w:tcPr>
            <w:tcW w:w="1817" w:type="dxa"/>
          </w:tcPr>
          <w:p w:rsidR="005312A2" w:rsidRPr="0066191E" w:rsidRDefault="005312A2" w:rsidP="00B359E3">
            <w:pPr>
              <w:jc w:val="center"/>
              <w:rPr>
                <w:b/>
                <w:sz w:val="20"/>
                <w:szCs w:val="20"/>
              </w:rPr>
            </w:pPr>
          </w:p>
        </w:tc>
        <w:tc>
          <w:tcPr>
            <w:tcW w:w="1967" w:type="dxa"/>
          </w:tcPr>
          <w:p w:rsidR="00A06B5C" w:rsidRPr="0066191E" w:rsidRDefault="00A06B5C" w:rsidP="00A06B5C">
            <w:pPr>
              <w:jc w:val="center"/>
              <w:rPr>
                <w:b/>
                <w:sz w:val="20"/>
                <w:szCs w:val="20"/>
              </w:rPr>
            </w:pPr>
            <w:r w:rsidRPr="0066191E">
              <w:rPr>
                <w:b/>
                <w:sz w:val="20"/>
                <w:szCs w:val="20"/>
              </w:rPr>
              <w:t>0.005897</w:t>
            </w:r>
          </w:p>
          <w:p w:rsidR="005312A2" w:rsidRPr="0066191E" w:rsidRDefault="00A06B5C" w:rsidP="00A06B5C">
            <w:pPr>
              <w:jc w:val="center"/>
              <w:rPr>
                <w:b/>
                <w:sz w:val="20"/>
                <w:szCs w:val="20"/>
              </w:rPr>
            </w:pPr>
            <w:r w:rsidRPr="0066191E">
              <w:rPr>
                <w:b/>
                <w:sz w:val="20"/>
                <w:szCs w:val="20"/>
              </w:rPr>
              <w:t>(0.611139)</w:t>
            </w:r>
          </w:p>
        </w:tc>
      </w:tr>
      <w:tr w:rsidR="00E877B6" w:rsidTr="0066191E">
        <w:tc>
          <w:tcPr>
            <w:tcW w:w="1800" w:type="dxa"/>
          </w:tcPr>
          <w:p w:rsidR="005312A2" w:rsidRPr="0066191E" w:rsidRDefault="00CA7640">
            <w:pPr>
              <w:rPr>
                <w:b/>
                <w:sz w:val="20"/>
                <w:szCs w:val="20"/>
              </w:rPr>
            </w:pPr>
            <w:r w:rsidRPr="0066191E">
              <w:rPr>
                <w:b/>
                <w:sz w:val="20"/>
                <w:szCs w:val="20"/>
              </w:rPr>
              <w:t>Trade within the Union, year 2012</w:t>
            </w:r>
          </w:p>
        </w:tc>
        <w:tc>
          <w:tcPr>
            <w:tcW w:w="1617" w:type="dxa"/>
          </w:tcPr>
          <w:p w:rsidR="005312A2" w:rsidRPr="0066191E" w:rsidRDefault="005312A2" w:rsidP="00B359E3">
            <w:pPr>
              <w:jc w:val="center"/>
              <w:rPr>
                <w:b/>
                <w:sz w:val="20"/>
                <w:szCs w:val="20"/>
              </w:rPr>
            </w:pPr>
          </w:p>
        </w:tc>
        <w:tc>
          <w:tcPr>
            <w:tcW w:w="1534" w:type="dxa"/>
          </w:tcPr>
          <w:p w:rsidR="005312A2" w:rsidRPr="0066191E" w:rsidRDefault="005312A2" w:rsidP="00B359E3">
            <w:pPr>
              <w:jc w:val="center"/>
              <w:rPr>
                <w:b/>
                <w:sz w:val="20"/>
                <w:szCs w:val="20"/>
              </w:rPr>
            </w:pPr>
          </w:p>
        </w:tc>
        <w:tc>
          <w:tcPr>
            <w:tcW w:w="1440" w:type="dxa"/>
          </w:tcPr>
          <w:p w:rsidR="00CA7640" w:rsidRPr="0066191E" w:rsidRDefault="00CA7640" w:rsidP="00B359E3">
            <w:pPr>
              <w:jc w:val="center"/>
              <w:rPr>
                <w:b/>
                <w:sz w:val="20"/>
                <w:szCs w:val="20"/>
              </w:rPr>
            </w:pPr>
            <w:r w:rsidRPr="0066191E">
              <w:rPr>
                <w:b/>
                <w:sz w:val="20"/>
                <w:szCs w:val="20"/>
              </w:rPr>
              <w:t>0.031129</w:t>
            </w:r>
          </w:p>
          <w:p w:rsidR="005312A2" w:rsidRPr="0066191E" w:rsidRDefault="00CA7640" w:rsidP="00B359E3">
            <w:pPr>
              <w:jc w:val="center"/>
              <w:rPr>
                <w:b/>
                <w:sz w:val="20"/>
                <w:szCs w:val="20"/>
              </w:rPr>
            </w:pPr>
            <w:r w:rsidRPr="0066191E">
              <w:rPr>
                <w:b/>
                <w:sz w:val="20"/>
                <w:szCs w:val="20"/>
              </w:rPr>
              <w:t>(0.7280768)</w:t>
            </w:r>
          </w:p>
        </w:tc>
        <w:tc>
          <w:tcPr>
            <w:tcW w:w="1423" w:type="dxa"/>
          </w:tcPr>
          <w:p w:rsidR="005312A2" w:rsidRPr="0066191E" w:rsidRDefault="005312A2" w:rsidP="00B359E3">
            <w:pPr>
              <w:jc w:val="center"/>
              <w:rPr>
                <w:b/>
                <w:sz w:val="20"/>
                <w:szCs w:val="20"/>
              </w:rPr>
            </w:pPr>
          </w:p>
        </w:tc>
        <w:tc>
          <w:tcPr>
            <w:tcW w:w="1817" w:type="dxa"/>
          </w:tcPr>
          <w:p w:rsidR="005312A2" w:rsidRPr="0066191E" w:rsidRDefault="005312A2" w:rsidP="00B359E3">
            <w:pPr>
              <w:jc w:val="center"/>
              <w:rPr>
                <w:b/>
                <w:sz w:val="20"/>
                <w:szCs w:val="20"/>
              </w:rPr>
            </w:pPr>
          </w:p>
        </w:tc>
        <w:tc>
          <w:tcPr>
            <w:tcW w:w="1967" w:type="dxa"/>
          </w:tcPr>
          <w:p w:rsidR="00A06B5C" w:rsidRPr="0066191E" w:rsidRDefault="00A06B5C" w:rsidP="00A06B5C">
            <w:pPr>
              <w:jc w:val="center"/>
              <w:rPr>
                <w:b/>
                <w:sz w:val="20"/>
                <w:szCs w:val="20"/>
              </w:rPr>
            </w:pPr>
            <w:r w:rsidRPr="0066191E">
              <w:rPr>
                <w:b/>
                <w:sz w:val="20"/>
                <w:szCs w:val="20"/>
              </w:rPr>
              <w:t>0.0542372</w:t>
            </w:r>
          </w:p>
          <w:p w:rsidR="005312A2" w:rsidRPr="0066191E" w:rsidRDefault="00A06B5C" w:rsidP="00A06B5C">
            <w:pPr>
              <w:jc w:val="center"/>
              <w:rPr>
                <w:b/>
                <w:sz w:val="20"/>
                <w:szCs w:val="20"/>
              </w:rPr>
            </w:pPr>
            <w:r w:rsidRPr="0066191E">
              <w:rPr>
                <w:b/>
                <w:sz w:val="20"/>
                <w:szCs w:val="20"/>
              </w:rPr>
              <w:t>(0.6111391)</w:t>
            </w:r>
          </w:p>
        </w:tc>
      </w:tr>
      <w:tr w:rsidR="00E877B6" w:rsidTr="0066191E">
        <w:tc>
          <w:tcPr>
            <w:tcW w:w="1800" w:type="dxa"/>
          </w:tcPr>
          <w:p w:rsidR="005312A2" w:rsidRPr="0066191E" w:rsidRDefault="00CA7640" w:rsidP="006A4C1A">
            <w:pPr>
              <w:ind w:left="-18"/>
              <w:rPr>
                <w:b/>
                <w:sz w:val="20"/>
                <w:szCs w:val="20"/>
              </w:rPr>
            </w:pPr>
            <w:r w:rsidRPr="0066191E">
              <w:rPr>
                <w:b/>
                <w:sz w:val="20"/>
                <w:szCs w:val="20"/>
              </w:rPr>
              <w:t>Trade within the Union, year 2013</w:t>
            </w:r>
          </w:p>
        </w:tc>
        <w:tc>
          <w:tcPr>
            <w:tcW w:w="1617" w:type="dxa"/>
          </w:tcPr>
          <w:p w:rsidR="005312A2" w:rsidRPr="0066191E" w:rsidRDefault="005312A2" w:rsidP="00B359E3">
            <w:pPr>
              <w:jc w:val="center"/>
              <w:rPr>
                <w:b/>
                <w:sz w:val="20"/>
                <w:szCs w:val="20"/>
              </w:rPr>
            </w:pPr>
          </w:p>
        </w:tc>
        <w:tc>
          <w:tcPr>
            <w:tcW w:w="1534" w:type="dxa"/>
          </w:tcPr>
          <w:p w:rsidR="005312A2" w:rsidRPr="0066191E" w:rsidRDefault="005312A2" w:rsidP="00B359E3">
            <w:pPr>
              <w:jc w:val="center"/>
              <w:rPr>
                <w:b/>
                <w:sz w:val="20"/>
                <w:szCs w:val="20"/>
              </w:rPr>
            </w:pPr>
          </w:p>
        </w:tc>
        <w:tc>
          <w:tcPr>
            <w:tcW w:w="1440" w:type="dxa"/>
          </w:tcPr>
          <w:p w:rsidR="008E588B" w:rsidRPr="0066191E" w:rsidRDefault="008E588B" w:rsidP="008E588B">
            <w:pPr>
              <w:jc w:val="center"/>
              <w:rPr>
                <w:b/>
                <w:sz w:val="20"/>
                <w:szCs w:val="20"/>
              </w:rPr>
            </w:pPr>
            <w:r w:rsidRPr="0066191E">
              <w:rPr>
                <w:b/>
                <w:sz w:val="20"/>
                <w:szCs w:val="20"/>
              </w:rPr>
              <w:t>-0.0411111</w:t>
            </w:r>
          </w:p>
          <w:p w:rsidR="005312A2" w:rsidRPr="0066191E" w:rsidRDefault="008E588B" w:rsidP="008E588B">
            <w:pPr>
              <w:jc w:val="center"/>
              <w:rPr>
                <w:b/>
                <w:sz w:val="20"/>
                <w:szCs w:val="20"/>
              </w:rPr>
            </w:pPr>
            <w:r w:rsidRPr="0066191E">
              <w:rPr>
                <w:b/>
                <w:sz w:val="20"/>
                <w:szCs w:val="20"/>
              </w:rPr>
              <w:t>(0.7280685)</w:t>
            </w:r>
          </w:p>
        </w:tc>
        <w:tc>
          <w:tcPr>
            <w:tcW w:w="1423" w:type="dxa"/>
          </w:tcPr>
          <w:p w:rsidR="005312A2" w:rsidRPr="0066191E" w:rsidRDefault="005312A2" w:rsidP="00B359E3">
            <w:pPr>
              <w:jc w:val="center"/>
              <w:rPr>
                <w:b/>
                <w:sz w:val="20"/>
                <w:szCs w:val="20"/>
              </w:rPr>
            </w:pPr>
          </w:p>
        </w:tc>
        <w:tc>
          <w:tcPr>
            <w:tcW w:w="1817" w:type="dxa"/>
          </w:tcPr>
          <w:p w:rsidR="005312A2" w:rsidRPr="0066191E" w:rsidRDefault="005312A2" w:rsidP="00B359E3">
            <w:pPr>
              <w:jc w:val="center"/>
              <w:rPr>
                <w:b/>
                <w:sz w:val="20"/>
                <w:szCs w:val="20"/>
              </w:rPr>
            </w:pPr>
          </w:p>
        </w:tc>
        <w:tc>
          <w:tcPr>
            <w:tcW w:w="1967" w:type="dxa"/>
          </w:tcPr>
          <w:p w:rsidR="00A06B5C" w:rsidRPr="0066191E" w:rsidRDefault="00A06B5C" w:rsidP="00A06B5C">
            <w:pPr>
              <w:jc w:val="center"/>
              <w:rPr>
                <w:b/>
                <w:sz w:val="20"/>
                <w:szCs w:val="20"/>
              </w:rPr>
            </w:pPr>
            <w:r w:rsidRPr="0066191E">
              <w:rPr>
                <w:b/>
                <w:sz w:val="20"/>
                <w:szCs w:val="20"/>
              </w:rPr>
              <w:t>0.0110661</w:t>
            </w:r>
          </w:p>
          <w:p w:rsidR="005312A2" w:rsidRPr="0066191E" w:rsidRDefault="00A06B5C" w:rsidP="00A06B5C">
            <w:pPr>
              <w:jc w:val="center"/>
              <w:rPr>
                <w:b/>
                <w:sz w:val="20"/>
                <w:szCs w:val="20"/>
              </w:rPr>
            </w:pPr>
            <w:r w:rsidRPr="0066191E">
              <w:rPr>
                <w:b/>
                <w:sz w:val="20"/>
                <w:szCs w:val="20"/>
              </w:rPr>
              <w:t>(0.6111391)</w:t>
            </w:r>
          </w:p>
        </w:tc>
      </w:tr>
      <w:tr w:rsidR="00E877B6" w:rsidTr="0066191E">
        <w:tc>
          <w:tcPr>
            <w:tcW w:w="1800" w:type="dxa"/>
          </w:tcPr>
          <w:p w:rsidR="005312A2" w:rsidRPr="0066191E" w:rsidRDefault="00CA7640">
            <w:pPr>
              <w:rPr>
                <w:b/>
                <w:sz w:val="20"/>
                <w:szCs w:val="20"/>
              </w:rPr>
            </w:pPr>
            <w:r w:rsidRPr="0066191E">
              <w:rPr>
                <w:b/>
                <w:sz w:val="20"/>
                <w:szCs w:val="20"/>
              </w:rPr>
              <w:t>Trade within the Union, year 2014</w:t>
            </w:r>
          </w:p>
        </w:tc>
        <w:tc>
          <w:tcPr>
            <w:tcW w:w="1617" w:type="dxa"/>
          </w:tcPr>
          <w:p w:rsidR="005312A2" w:rsidRPr="0066191E" w:rsidRDefault="005312A2" w:rsidP="00B359E3">
            <w:pPr>
              <w:jc w:val="center"/>
              <w:rPr>
                <w:b/>
                <w:sz w:val="20"/>
                <w:szCs w:val="20"/>
              </w:rPr>
            </w:pPr>
          </w:p>
        </w:tc>
        <w:tc>
          <w:tcPr>
            <w:tcW w:w="1534" w:type="dxa"/>
          </w:tcPr>
          <w:p w:rsidR="005312A2" w:rsidRPr="0066191E" w:rsidRDefault="005312A2" w:rsidP="00B359E3">
            <w:pPr>
              <w:jc w:val="center"/>
              <w:rPr>
                <w:b/>
                <w:sz w:val="20"/>
                <w:szCs w:val="20"/>
              </w:rPr>
            </w:pPr>
          </w:p>
        </w:tc>
        <w:tc>
          <w:tcPr>
            <w:tcW w:w="1440" w:type="dxa"/>
          </w:tcPr>
          <w:p w:rsidR="008E588B" w:rsidRPr="0066191E" w:rsidRDefault="008E588B" w:rsidP="008E588B">
            <w:pPr>
              <w:jc w:val="center"/>
              <w:rPr>
                <w:b/>
                <w:sz w:val="20"/>
                <w:szCs w:val="20"/>
              </w:rPr>
            </w:pPr>
            <w:r w:rsidRPr="0066191E">
              <w:rPr>
                <w:b/>
                <w:sz w:val="20"/>
                <w:szCs w:val="20"/>
              </w:rPr>
              <w:t>0.0352688</w:t>
            </w:r>
          </w:p>
          <w:p w:rsidR="005312A2" w:rsidRPr="0066191E" w:rsidRDefault="008E588B" w:rsidP="008E588B">
            <w:pPr>
              <w:jc w:val="center"/>
              <w:rPr>
                <w:b/>
                <w:sz w:val="20"/>
                <w:szCs w:val="20"/>
              </w:rPr>
            </w:pPr>
            <w:r w:rsidRPr="0066191E">
              <w:rPr>
                <w:b/>
                <w:sz w:val="20"/>
                <w:szCs w:val="20"/>
              </w:rPr>
              <w:t>(0.7280543)</w:t>
            </w:r>
          </w:p>
        </w:tc>
        <w:tc>
          <w:tcPr>
            <w:tcW w:w="1423" w:type="dxa"/>
          </w:tcPr>
          <w:p w:rsidR="005312A2" w:rsidRPr="0066191E" w:rsidRDefault="005312A2" w:rsidP="00B359E3">
            <w:pPr>
              <w:jc w:val="center"/>
              <w:rPr>
                <w:b/>
                <w:sz w:val="20"/>
                <w:szCs w:val="20"/>
              </w:rPr>
            </w:pPr>
          </w:p>
        </w:tc>
        <w:tc>
          <w:tcPr>
            <w:tcW w:w="1817" w:type="dxa"/>
          </w:tcPr>
          <w:p w:rsidR="005312A2" w:rsidRPr="0066191E" w:rsidRDefault="005312A2" w:rsidP="00B359E3">
            <w:pPr>
              <w:jc w:val="center"/>
              <w:rPr>
                <w:b/>
                <w:sz w:val="20"/>
                <w:szCs w:val="20"/>
              </w:rPr>
            </w:pPr>
          </w:p>
        </w:tc>
        <w:tc>
          <w:tcPr>
            <w:tcW w:w="1967" w:type="dxa"/>
          </w:tcPr>
          <w:p w:rsidR="00A06B5C" w:rsidRPr="0066191E" w:rsidRDefault="00A06B5C" w:rsidP="00A06B5C">
            <w:pPr>
              <w:jc w:val="center"/>
              <w:rPr>
                <w:b/>
                <w:sz w:val="20"/>
                <w:szCs w:val="20"/>
              </w:rPr>
            </w:pPr>
            <w:r w:rsidRPr="0066191E">
              <w:rPr>
                <w:b/>
                <w:sz w:val="20"/>
                <w:szCs w:val="20"/>
              </w:rPr>
              <w:t>0.0249678</w:t>
            </w:r>
          </w:p>
          <w:p w:rsidR="005312A2" w:rsidRPr="0066191E" w:rsidRDefault="00A06B5C" w:rsidP="00A06B5C">
            <w:pPr>
              <w:jc w:val="center"/>
              <w:rPr>
                <w:b/>
                <w:sz w:val="20"/>
                <w:szCs w:val="20"/>
              </w:rPr>
            </w:pPr>
            <w:r w:rsidRPr="0066191E">
              <w:rPr>
                <w:b/>
                <w:sz w:val="20"/>
                <w:szCs w:val="20"/>
              </w:rPr>
              <w:t>(0.6111391)</w:t>
            </w:r>
          </w:p>
        </w:tc>
      </w:tr>
      <w:tr w:rsidR="00E877B6" w:rsidTr="0066191E">
        <w:tc>
          <w:tcPr>
            <w:tcW w:w="1800" w:type="dxa"/>
          </w:tcPr>
          <w:p w:rsidR="005312A2" w:rsidRPr="0066191E" w:rsidRDefault="00CA7640">
            <w:pPr>
              <w:rPr>
                <w:b/>
                <w:sz w:val="20"/>
                <w:szCs w:val="20"/>
              </w:rPr>
            </w:pPr>
            <w:r w:rsidRPr="0066191E">
              <w:rPr>
                <w:b/>
                <w:sz w:val="20"/>
                <w:szCs w:val="20"/>
              </w:rPr>
              <w:t>Trade within the Union, year 2015</w:t>
            </w:r>
          </w:p>
        </w:tc>
        <w:tc>
          <w:tcPr>
            <w:tcW w:w="1617" w:type="dxa"/>
          </w:tcPr>
          <w:p w:rsidR="005312A2" w:rsidRPr="0066191E" w:rsidRDefault="005312A2" w:rsidP="00B359E3">
            <w:pPr>
              <w:jc w:val="center"/>
              <w:rPr>
                <w:b/>
                <w:sz w:val="20"/>
                <w:szCs w:val="20"/>
              </w:rPr>
            </w:pPr>
          </w:p>
        </w:tc>
        <w:tc>
          <w:tcPr>
            <w:tcW w:w="1534" w:type="dxa"/>
          </w:tcPr>
          <w:p w:rsidR="005312A2" w:rsidRPr="0066191E" w:rsidRDefault="005312A2" w:rsidP="00B359E3">
            <w:pPr>
              <w:jc w:val="center"/>
              <w:rPr>
                <w:b/>
                <w:sz w:val="20"/>
                <w:szCs w:val="20"/>
              </w:rPr>
            </w:pPr>
          </w:p>
        </w:tc>
        <w:tc>
          <w:tcPr>
            <w:tcW w:w="1440" w:type="dxa"/>
          </w:tcPr>
          <w:p w:rsidR="008E588B" w:rsidRPr="0066191E" w:rsidRDefault="008E588B" w:rsidP="00B359E3">
            <w:pPr>
              <w:jc w:val="center"/>
              <w:rPr>
                <w:b/>
                <w:sz w:val="20"/>
                <w:szCs w:val="20"/>
              </w:rPr>
            </w:pPr>
            <w:r w:rsidRPr="0066191E">
              <w:rPr>
                <w:b/>
                <w:sz w:val="20"/>
                <w:szCs w:val="20"/>
              </w:rPr>
              <w:t>0.2108392</w:t>
            </w:r>
          </w:p>
          <w:p w:rsidR="005312A2" w:rsidRPr="0066191E" w:rsidRDefault="008E588B" w:rsidP="00B359E3">
            <w:pPr>
              <w:jc w:val="center"/>
              <w:rPr>
                <w:b/>
                <w:sz w:val="20"/>
                <w:szCs w:val="20"/>
              </w:rPr>
            </w:pPr>
            <w:r w:rsidRPr="0066191E">
              <w:rPr>
                <w:b/>
                <w:sz w:val="20"/>
                <w:szCs w:val="20"/>
              </w:rPr>
              <w:t>(0.7280942)</w:t>
            </w:r>
          </w:p>
        </w:tc>
        <w:tc>
          <w:tcPr>
            <w:tcW w:w="1423" w:type="dxa"/>
          </w:tcPr>
          <w:p w:rsidR="005312A2" w:rsidRPr="0066191E" w:rsidRDefault="005312A2" w:rsidP="00B359E3">
            <w:pPr>
              <w:jc w:val="center"/>
              <w:rPr>
                <w:b/>
                <w:sz w:val="20"/>
                <w:szCs w:val="20"/>
              </w:rPr>
            </w:pPr>
          </w:p>
        </w:tc>
        <w:tc>
          <w:tcPr>
            <w:tcW w:w="1817" w:type="dxa"/>
          </w:tcPr>
          <w:p w:rsidR="005312A2" w:rsidRPr="0066191E" w:rsidRDefault="005312A2" w:rsidP="00B359E3">
            <w:pPr>
              <w:jc w:val="center"/>
              <w:rPr>
                <w:b/>
                <w:sz w:val="20"/>
                <w:szCs w:val="20"/>
              </w:rPr>
            </w:pPr>
          </w:p>
        </w:tc>
        <w:tc>
          <w:tcPr>
            <w:tcW w:w="1967" w:type="dxa"/>
          </w:tcPr>
          <w:p w:rsidR="00A06B5C" w:rsidRPr="0066191E" w:rsidRDefault="00A06B5C" w:rsidP="00B359E3">
            <w:pPr>
              <w:jc w:val="center"/>
              <w:rPr>
                <w:b/>
                <w:sz w:val="20"/>
                <w:szCs w:val="20"/>
              </w:rPr>
            </w:pPr>
            <w:r w:rsidRPr="0066191E">
              <w:rPr>
                <w:b/>
                <w:sz w:val="20"/>
                <w:szCs w:val="20"/>
              </w:rPr>
              <w:t>-0.0054073</w:t>
            </w:r>
          </w:p>
          <w:p w:rsidR="005312A2" w:rsidRPr="0066191E" w:rsidRDefault="00A06B5C" w:rsidP="00B359E3">
            <w:pPr>
              <w:jc w:val="center"/>
              <w:rPr>
                <w:b/>
                <w:sz w:val="20"/>
                <w:szCs w:val="20"/>
              </w:rPr>
            </w:pPr>
            <w:r w:rsidRPr="0066191E">
              <w:rPr>
                <w:b/>
                <w:sz w:val="20"/>
                <w:szCs w:val="20"/>
              </w:rPr>
              <w:t>(0.6112536)</w:t>
            </w:r>
          </w:p>
        </w:tc>
      </w:tr>
      <w:tr w:rsidR="00E877B6" w:rsidTr="0066191E">
        <w:tc>
          <w:tcPr>
            <w:tcW w:w="1800" w:type="dxa"/>
          </w:tcPr>
          <w:p w:rsidR="006A4C1A" w:rsidRPr="00CA7640" w:rsidRDefault="00634FBF" w:rsidP="00E877B6">
            <w:pPr>
              <w:rPr>
                <w:sz w:val="20"/>
                <w:szCs w:val="20"/>
              </w:rPr>
            </w:pPr>
            <w:r>
              <w:rPr>
                <w:sz w:val="20"/>
                <w:szCs w:val="20"/>
              </w:rPr>
              <w:t>Larger</w:t>
            </w:r>
            <w:r w:rsidR="006A4C1A" w:rsidRPr="00CA7640">
              <w:rPr>
                <w:sz w:val="20"/>
                <w:szCs w:val="20"/>
              </w:rPr>
              <w:t xml:space="preserve"> economy GDP, log</w:t>
            </w:r>
          </w:p>
        </w:tc>
        <w:tc>
          <w:tcPr>
            <w:tcW w:w="1617" w:type="dxa"/>
          </w:tcPr>
          <w:p w:rsidR="006A4C1A" w:rsidRPr="00CA7640" w:rsidRDefault="00DE5117" w:rsidP="00DE5117">
            <w:pPr>
              <w:jc w:val="center"/>
              <w:rPr>
                <w:sz w:val="20"/>
                <w:szCs w:val="20"/>
              </w:rPr>
            </w:pPr>
            <w:r w:rsidRPr="00CA7640">
              <w:rPr>
                <w:sz w:val="20"/>
                <w:szCs w:val="20"/>
              </w:rPr>
              <w:t>1.196609*** (0.0390073)</w:t>
            </w:r>
          </w:p>
        </w:tc>
        <w:tc>
          <w:tcPr>
            <w:tcW w:w="1534" w:type="dxa"/>
          </w:tcPr>
          <w:p w:rsidR="00ED3A3D" w:rsidRPr="00CA7640" w:rsidRDefault="00ED3A3D" w:rsidP="00B359E3">
            <w:pPr>
              <w:jc w:val="center"/>
              <w:rPr>
                <w:sz w:val="20"/>
                <w:szCs w:val="20"/>
              </w:rPr>
            </w:pPr>
            <w:r w:rsidRPr="00CA7640">
              <w:rPr>
                <w:sz w:val="20"/>
                <w:szCs w:val="20"/>
              </w:rPr>
              <w:t>1.196612***</w:t>
            </w:r>
          </w:p>
          <w:p w:rsidR="006A4C1A" w:rsidRPr="00CA7640" w:rsidRDefault="00ED3A3D" w:rsidP="00B359E3">
            <w:pPr>
              <w:jc w:val="center"/>
              <w:rPr>
                <w:sz w:val="20"/>
                <w:szCs w:val="20"/>
              </w:rPr>
            </w:pPr>
            <w:r w:rsidRPr="00CA7640">
              <w:rPr>
                <w:sz w:val="20"/>
                <w:szCs w:val="20"/>
              </w:rPr>
              <w:t>(0.0390286)</w:t>
            </w:r>
          </w:p>
        </w:tc>
        <w:tc>
          <w:tcPr>
            <w:tcW w:w="1440" w:type="dxa"/>
          </w:tcPr>
          <w:p w:rsidR="008E588B" w:rsidRDefault="008E588B" w:rsidP="00B359E3">
            <w:pPr>
              <w:jc w:val="center"/>
              <w:rPr>
                <w:sz w:val="20"/>
                <w:szCs w:val="20"/>
              </w:rPr>
            </w:pPr>
            <w:r w:rsidRPr="008E588B">
              <w:rPr>
                <w:sz w:val="20"/>
                <w:szCs w:val="20"/>
              </w:rPr>
              <w:t>1.196574</w:t>
            </w:r>
            <w:r>
              <w:rPr>
                <w:sz w:val="20"/>
                <w:szCs w:val="20"/>
              </w:rPr>
              <w:t>***</w:t>
            </w:r>
          </w:p>
          <w:p w:rsidR="006A4C1A" w:rsidRPr="00CA7640" w:rsidRDefault="008E588B" w:rsidP="00B359E3">
            <w:pPr>
              <w:jc w:val="center"/>
              <w:rPr>
                <w:sz w:val="20"/>
                <w:szCs w:val="20"/>
              </w:rPr>
            </w:pPr>
            <w:r>
              <w:rPr>
                <w:sz w:val="20"/>
                <w:szCs w:val="20"/>
              </w:rPr>
              <w:t>(0</w:t>
            </w:r>
            <w:r w:rsidRPr="008E588B">
              <w:rPr>
                <w:sz w:val="20"/>
                <w:szCs w:val="20"/>
              </w:rPr>
              <w:t>.0391134</w:t>
            </w:r>
            <w:r>
              <w:rPr>
                <w:sz w:val="20"/>
                <w:szCs w:val="20"/>
              </w:rPr>
              <w:t>)</w:t>
            </w:r>
          </w:p>
        </w:tc>
        <w:tc>
          <w:tcPr>
            <w:tcW w:w="1423" w:type="dxa"/>
          </w:tcPr>
          <w:p w:rsidR="006A4C1A" w:rsidRPr="00CA7640" w:rsidRDefault="006A4C1A" w:rsidP="00B359E3">
            <w:pPr>
              <w:jc w:val="center"/>
              <w:rPr>
                <w:sz w:val="20"/>
                <w:szCs w:val="20"/>
              </w:rPr>
            </w:pPr>
          </w:p>
        </w:tc>
        <w:tc>
          <w:tcPr>
            <w:tcW w:w="1817" w:type="dxa"/>
          </w:tcPr>
          <w:p w:rsidR="006A4C1A" w:rsidRPr="00CA7640" w:rsidRDefault="006A4C1A" w:rsidP="00B359E3">
            <w:pPr>
              <w:jc w:val="center"/>
              <w:rPr>
                <w:sz w:val="20"/>
                <w:szCs w:val="20"/>
              </w:rPr>
            </w:pPr>
          </w:p>
        </w:tc>
        <w:tc>
          <w:tcPr>
            <w:tcW w:w="1967" w:type="dxa"/>
          </w:tcPr>
          <w:p w:rsidR="006A4C1A" w:rsidRPr="00CA7640" w:rsidRDefault="006A4C1A" w:rsidP="00B359E3">
            <w:pPr>
              <w:jc w:val="center"/>
              <w:rPr>
                <w:sz w:val="20"/>
                <w:szCs w:val="20"/>
              </w:rPr>
            </w:pPr>
          </w:p>
        </w:tc>
      </w:tr>
      <w:tr w:rsidR="00E877B6" w:rsidTr="0066191E">
        <w:tc>
          <w:tcPr>
            <w:tcW w:w="1800" w:type="dxa"/>
          </w:tcPr>
          <w:p w:rsidR="006A4C1A" w:rsidRPr="00CA7640" w:rsidRDefault="006A4C1A" w:rsidP="00537A2A">
            <w:pPr>
              <w:rPr>
                <w:sz w:val="20"/>
                <w:szCs w:val="20"/>
              </w:rPr>
            </w:pPr>
            <w:r w:rsidRPr="00CA7640">
              <w:rPr>
                <w:sz w:val="20"/>
                <w:szCs w:val="20"/>
              </w:rPr>
              <w:t xml:space="preserve">Smaller </w:t>
            </w:r>
            <w:r w:rsidR="00537A2A">
              <w:rPr>
                <w:sz w:val="20"/>
                <w:szCs w:val="20"/>
              </w:rPr>
              <w:t>e</w:t>
            </w:r>
            <w:r w:rsidRPr="00CA7640">
              <w:rPr>
                <w:sz w:val="20"/>
                <w:szCs w:val="20"/>
              </w:rPr>
              <w:t>conomy GDP, log</w:t>
            </w:r>
          </w:p>
        </w:tc>
        <w:tc>
          <w:tcPr>
            <w:tcW w:w="1617" w:type="dxa"/>
          </w:tcPr>
          <w:p w:rsidR="00DE5117" w:rsidRPr="00CA7640" w:rsidRDefault="00DE5117" w:rsidP="00DE5117">
            <w:pPr>
              <w:jc w:val="center"/>
              <w:rPr>
                <w:sz w:val="20"/>
                <w:szCs w:val="20"/>
              </w:rPr>
            </w:pPr>
            <w:r w:rsidRPr="00CA7640">
              <w:rPr>
                <w:sz w:val="20"/>
                <w:szCs w:val="20"/>
              </w:rPr>
              <w:t>1.051391***</w:t>
            </w:r>
          </w:p>
          <w:p w:rsidR="006A4C1A" w:rsidRPr="00CA7640" w:rsidRDefault="00DE5117" w:rsidP="00DE5117">
            <w:pPr>
              <w:jc w:val="center"/>
              <w:rPr>
                <w:sz w:val="20"/>
                <w:szCs w:val="20"/>
              </w:rPr>
            </w:pPr>
            <w:r w:rsidRPr="00CA7640">
              <w:rPr>
                <w:sz w:val="20"/>
                <w:szCs w:val="20"/>
              </w:rPr>
              <w:t>(0.0567606)</w:t>
            </w:r>
          </w:p>
        </w:tc>
        <w:tc>
          <w:tcPr>
            <w:tcW w:w="1534" w:type="dxa"/>
          </w:tcPr>
          <w:p w:rsidR="006A4C1A" w:rsidRPr="00CA7640" w:rsidRDefault="00ED3A3D" w:rsidP="00B359E3">
            <w:pPr>
              <w:jc w:val="center"/>
              <w:rPr>
                <w:sz w:val="20"/>
                <w:szCs w:val="20"/>
              </w:rPr>
            </w:pPr>
            <w:r w:rsidRPr="00CA7640">
              <w:rPr>
                <w:sz w:val="20"/>
                <w:szCs w:val="20"/>
              </w:rPr>
              <w:t>1.051428***   (0.0567928)</w:t>
            </w:r>
          </w:p>
        </w:tc>
        <w:tc>
          <w:tcPr>
            <w:tcW w:w="1440" w:type="dxa"/>
          </w:tcPr>
          <w:p w:rsidR="008E588B" w:rsidRDefault="008E588B" w:rsidP="00B359E3">
            <w:pPr>
              <w:jc w:val="center"/>
              <w:rPr>
                <w:sz w:val="20"/>
                <w:szCs w:val="20"/>
              </w:rPr>
            </w:pPr>
            <w:r w:rsidRPr="008E588B">
              <w:rPr>
                <w:sz w:val="20"/>
                <w:szCs w:val="20"/>
              </w:rPr>
              <w:t>1.051513</w:t>
            </w:r>
            <w:r>
              <w:rPr>
                <w:sz w:val="20"/>
                <w:szCs w:val="20"/>
              </w:rPr>
              <w:t>***</w:t>
            </w:r>
          </w:p>
          <w:p w:rsidR="006A4C1A" w:rsidRPr="00CA7640" w:rsidRDefault="008E588B" w:rsidP="00B359E3">
            <w:pPr>
              <w:jc w:val="center"/>
              <w:rPr>
                <w:sz w:val="20"/>
                <w:szCs w:val="20"/>
              </w:rPr>
            </w:pPr>
            <w:r>
              <w:rPr>
                <w:sz w:val="20"/>
                <w:szCs w:val="20"/>
              </w:rPr>
              <w:t>(0</w:t>
            </w:r>
            <w:r w:rsidRPr="008E588B">
              <w:rPr>
                <w:sz w:val="20"/>
                <w:szCs w:val="20"/>
              </w:rPr>
              <w:t>.0569168</w:t>
            </w:r>
            <w:r>
              <w:rPr>
                <w:sz w:val="20"/>
                <w:szCs w:val="20"/>
              </w:rPr>
              <w:t>)</w:t>
            </w:r>
          </w:p>
        </w:tc>
        <w:tc>
          <w:tcPr>
            <w:tcW w:w="1423" w:type="dxa"/>
          </w:tcPr>
          <w:p w:rsidR="006A4C1A" w:rsidRPr="00CA7640" w:rsidRDefault="006A4C1A" w:rsidP="00B359E3">
            <w:pPr>
              <w:jc w:val="center"/>
              <w:rPr>
                <w:sz w:val="20"/>
                <w:szCs w:val="20"/>
              </w:rPr>
            </w:pPr>
          </w:p>
        </w:tc>
        <w:tc>
          <w:tcPr>
            <w:tcW w:w="1817" w:type="dxa"/>
          </w:tcPr>
          <w:p w:rsidR="006A4C1A" w:rsidRPr="00CA7640" w:rsidRDefault="006A4C1A" w:rsidP="00B359E3">
            <w:pPr>
              <w:jc w:val="center"/>
              <w:rPr>
                <w:sz w:val="20"/>
                <w:szCs w:val="20"/>
              </w:rPr>
            </w:pPr>
          </w:p>
        </w:tc>
        <w:tc>
          <w:tcPr>
            <w:tcW w:w="1967" w:type="dxa"/>
          </w:tcPr>
          <w:p w:rsidR="006A4C1A" w:rsidRPr="00CA7640" w:rsidRDefault="006A4C1A" w:rsidP="00B359E3">
            <w:pPr>
              <w:jc w:val="center"/>
              <w:rPr>
                <w:sz w:val="20"/>
                <w:szCs w:val="20"/>
              </w:rPr>
            </w:pPr>
          </w:p>
        </w:tc>
      </w:tr>
      <w:tr w:rsidR="00E877B6" w:rsidTr="0066191E">
        <w:tc>
          <w:tcPr>
            <w:tcW w:w="1800" w:type="dxa"/>
          </w:tcPr>
          <w:p w:rsidR="006A4C1A" w:rsidRPr="00CA7640" w:rsidRDefault="00E877B6" w:rsidP="00E877B6">
            <w:pPr>
              <w:rPr>
                <w:sz w:val="20"/>
                <w:szCs w:val="20"/>
              </w:rPr>
            </w:pPr>
            <w:r>
              <w:rPr>
                <w:sz w:val="20"/>
                <w:szCs w:val="20"/>
              </w:rPr>
              <w:t>Countries’ dummies</w:t>
            </w:r>
            <w:r w:rsidR="007E34CC">
              <w:rPr>
                <w:rStyle w:val="a9"/>
                <w:sz w:val="20"/>
                <w:szCs w:val="20"/>
              </w:rPr>
              <w:footnoteReference w:id="3"/>
            </w:r>
          </w:p>
        </w:tc>
        <w:tc>
          <w:tcPr>
            <w:tcW w:w="1617" w:type="dxa"/>
          </w:tcPr>
          <w:p w:rsidR="006A4C1A" w:rsidRPr="00CA7640" w:rsidRDefault="006A4C1A" w:rsidP="00B359E3">
            <w:pPr>
              <w:jc w:val="center"/>
              <w:rPr>
                <w:sz w:val="20"/>
                <w:szCs w:val="20"/>
              </w:rPr>
            </w:pPr>
          </w:p>
        </w:tc>
        <w:tc>
          <w:tcPr>
            <w:tcW w:w="1534" w:type="dxa"/>
          </w:tcPr>
          <w:p w:rsidR="006A4C1A" w:rsidRPr="00CA7640" w:rsidRDefault="006A4C1A" w:rsidP="00B359E3">
            <w:pPr>
              <w:jc w:val="center"/>
              <w:rPr>
                <w:sz w:val="20"/>
                <w:szCs w:val="20"/>
              </w:rPr>
            </w:pPr>
          </w:p>
        </w:tc>
        <w:tc>
          <w:tcPr>
            <w:tcW w:w="1440" w:type="dxa"/>
          </w:tcPr>
          <w:p w:rsidR="006A4C1A" w:rsidRPr="00CA7640" w:rsidRDefault="006A4C1A" w:rsidP="00B359E3">
            <w:pPr>
              <w:jc w:val="center"/>
              <w:rPr>
                <w:sz w:val="20"/>
                <w:szCs w:val="20"/>
              </w:rPr>
            </w:pPr>
          </w:p>
        </w:tc>
        <w:tc>
          <w:tcPr>
            <w:tcW w:w="1423" w:type="dxa"/>
          </w:tcPr>
          <w:p w:rsidR="006A4C1A" w:rsidRDefault="00E877B6" w:rsidP="00B359E3">
            <w:pPr>
              <w:jc w:val="center"/>
              <w:rPr>
                <w:sz w:val="20"/>
                <w:szCs w:val="20"/>
              </w:rPr>
            </w:pPr>
            <w:r w:rsidRPr="00E877B6">
              <w:rPr>
                <w:sz w:val="20"/>
                <w:szCs w:val="20"/>
              </w:rPr>
              <w:t>5.725046</w:t>
            </w:r>
            <w:r>
              <w:rPr>
                <w:sz w:val="20"/>
                <w:szCs w:val="20"/>
              </w:rPr>
              <w:t xml:space="preserve"> –</w:t>
            </w:r>
          </w:p>
          <w:p w:rsidR="00E877B6" w:rsidRPr="00CA7640" w:rsidRDefault="00E877B6" w:rsidP="00B359E3">
            <w:pPr>
              <w:jc w:val="center"/>
              <w:rPr>
                <w:sz w:val="20"/>
                <w:szCs w:val="20"/>
              </w:rPr>
            </w:pPr>
            <w:r w:rsidRPr="00E877B6">
              <w:rPr>
                <w:sz w:val="20"/>
                <w:szCs w:val="20"/>
              </w:rPr>
              <w:t>-</w:t>
            </w:r>
            <w:r w:rsidR="005D21D9">
              <w:rPr>
                <w:sz w:val="20"/>
                <w:szCs w:val="20"/>
              </w:rPr>
              <w:t>0</w:t>
            </w:r>
            <w:r w:rsidRPr="00E877B6">
              <w:rPr>
                <w:sz w:val="20"/>
                <w:szCs w:val="20"/>
              </w:rPr>
              <w:t>.3812386</w:t>
            </w:r>
          </w:p>
        </w:tc>
        <w:tc>
          <w:tcPr>
            <w:tcW w:w="1817" w:type="dxa"/>
          </w:tcPr>
          <w:p w:rsidR="006A4C1A" w:rsidRDefault="005D21D9" w:rsidP="00B359E3">
            <w:pPr>
              <w:jc w:val="center"/>
              <w:rPr>
                <w:sz w:val="20"/>
                <w:szCs w:val="20"/>
              </w:rPr>
            </w:pPr>
            <w:r w:rsidRPr="005D21D9">
              <w:rPr>
                <w:sz w:val="20"/>
                <w:szCs w:val="20"/>
              </w:rPr>
              <w:t>5.720185</w:t>
            </w:r>
            <w:r>
              <w:rPr>
                <w:sz w:val="20"/>
                <w:szCs w:val="20"/>
              </w:rPr>
              <w:t xml:space="preserve"> –</w:t>
            </w:r>
          </w:p>
          <w:p w:rsidR="005D21D9" w:rsidRPr="00CA7640" w:rsidRDefault="005D21D9" w:rsidP="00B359E3">
            <w:pPr>
              <w:jc w:val="center"/>
              <w:rPr>
                <w:sz w:val="20"/>
                <w:szCs w:val="20"/>
              </w:rPr>
            </w:pPr>
            <w:r w:rsidRPr="005D21D9">
              <w:rPr>
                <w:sz w:val="20"/>
                <w:szCs w:val="20"/>
              </w:rPr>
              <w:t>-</w:t>
            </w:r>
            <w:r>
              <w:rPr>
                <w:sz w:val="20"/>
                <w:szCs w:val="20"/>
              </w:rPr>
              <w:t>0</w:t>
            </w:r>
            <w:r w:rsidRPr="005D21D9">
              <w:rPr>
                <w:sz w:val="20"/>
                <w:szCs w:val="20"/>
              </w:rPr>
              <w:t>.3819827</w:t>
            </w:r>
          </w:p>
        </w:tc>
        <w:tc>
          <w:tcPr>
            <w:tcW w:w="1967" w:type="dxa"/>
          </w:tcPr>
          <w:p w:rsidR="006A4C1A" w:rsidRDefault="00A06B5C" w:rsidP="00B359E3">
            <w:pPr>
              <w:jc w:val="center"/>
              <w:rPr>
                <w:sz w:val="20"/>
                <w:szCs w:val="20"/>
              </w:rPr>
            </w:pPr>
            <w:r w:rsidRPr="00A06B5C">
              <w:rPr>
                <w:sz w:val="20"/>
                <w:szCs w:val="20"/>
              </w:rPr>
              <w:t>5.72018</w:t>
            </w:r>
            <w:r>
              <w:rPr>
                <w:sz w:val="20"/>
                <w:szCs w:val="20"/>
              </w:rPr>
              <w:t xml:space="preserve"> – </w:t>
            </w:r>
          </w:p>
          <w:p w:rsidR="00A06B5C" w:rsidRPr="00CA7640" w:rsidRDefault="00A06B5C" w:rsidP="00B359E3">
            <w:pPr>
              <w:jc w:val="center"/>
              <w:rPr>
                <w:sz w:val="20"/>
                <w:szCs w:val="20"/>
              </w:rPr>
            </w:pPr>
            <w:r w:rsidRPr="00A06B5C">
              <w:rPr>
                <w:sz w:val="20"/>
                <w:szCs w:val="20"/>
              </w:rPr>
              <w:t>-</w:t>
            </w:r>
            <w:r>
              <w:rPr>
                <w:sz w:val="20"/>
                <w:szCs w:val="20"/>
              </w:rPr>
              <w:t>0</w:t>
            </w:r>
            <w:r w:rsidRPr="00A06B5C">
              <w:rPr>
                <w:sz w:val="20"/>
                <w:szCs w:val="20"/>
              </w:rPr>
              <w:t>.3819807</w:t>
            </w:r>
          </w:p>
        </w:tc>
      </w:tr>
      <w:tr w:rsidR="00E877B6" w:rsidTr="0066191E">
        <w:tc>
          <w:tcPr>
            <w:tcW w:w="1800" w:type="dxa"/>
          </w:tcPr>
          <w:p w:rsidR="006A4C1A" w:rsidRPr="00CA7640" w:rsidRDefault="006A4C1A" w:rsidP="00E877B6">
            <w:pPr>
              <w:rPr>
                <w:sz w:val="20"/>
                <w:szCs w:val="20"/>
              </w:rPr>
            </w:pPr>
            <w:r w:rsidRPr="00CA7640">
              <w:rPr>
                <w:sz w:val="20"/>
                <w:szCs w:val="20"/>
              </w:rPr>
              <w:t>Distance, log</w:t>
            </w:r>
          </w:p>
        </w:tc>
        <w:tc>
          <w:tcPr>
            <w:tcW w:w="1617" w:type="dxa"/>
          </w:tcPr>
          <w:p w:rsidR="00ED3A3D" w:rsidRPr="00CA7640" w:rsidRDefault="00ED3A3D" w:rsidP="00B359E3">
            <w:pPr>
              <w:jc w:val="center"/>
              <w:rPr>
                <w:sz w:val="20"/>
                <w:szCs w:val="20"/>
              </w:rPr>
            </w:pPr>
            <w:r w:rsidRPr="00CA7640">
              <w:rPr>
                <w:sz w:val="20"/>
                <w:szCs w:val="20"/>
              </w:rPr>
              <w:t>-1.195351***</w:t>
            </w:r>
          </w:p>
          <w:p w:rsidR="006A4C1A" w:rsidRPr="00CA7640" w:rsidRDefault="00ED3A3D" w:rsidP="00B359E3">
            <w:pPr>
              <w:jc w:val="center"/>
              <w:rPr>
                <w:sz w:val="20"/>
                <w:szCs w:val="20"/>
              </w:rPr>
            </w:pPr>
            <w:r w:rsidRPr="00CA7640">
              <w:rPr>
                <w:sz w:val="20"/>
                <w:szCs w:val="20"/>
              </w:rPr>
              <w:t>(0.1063646)</w:t>
            </w:r>
          </w:p>
        </w:tc>
        <w:tc>
          <w:tcPr>
            <w:tcW w:w="1534" w:type="dxa"/>
          </w:tcPr>
          <w:p w:rsidR="00ED3A3D" w:rsidRPr="00CA7640" w:rsidRDefault="00ED3A3D" w:rsidP="00B359E3">
            <w:pPr>
              <w:jc w:val="center"/>
              <w:rPr>
                <w:sz w:val="20"/>
                <w:szCs w:val="20"/>
              </w:rPr>
            </w:pPr>
            <w:r w:rsidRPr="00CA7640">
              <w:rPr>
                <w:sz w:val="20"/>
                <w:szCs w:val="20"/>
              </w:rPr>
              <w:t>-1.195351***</w:t>
            </w:r>
          </w:p>
          <w:p w:rsidR="006A4C1A" w:rsidRPr="00CA7640" w:rsidRDefault="00ED3A3D" w:rsidP="00B359E3">
            <w:pPr>
              <w:jc w:val="center"/>
              <w:rPr>
                <w:sz w:val="20"/>
                <w:szCs w:val="20"/>
              </w:rPr>
            </w:pPr>
            <w:r w:rsidRPr="00CA7640">
              <w:rPr>
                <w:sz w:val="20"/>
                <w:szCs w:val="20"/>
              </w:rPr>
              <w:t>(0.1064228)</w:t>
            </w:r>
          </w:p>
        </w:tc>
        <w:tc>
          <w:tcPr>
            <w:tcW w:w="1440" w:type="dxa"/>
          </w:tcPr>
          <w:p w:rsidR="008E588B" w:rsidRDefault="008E588B" w:rsidP="008E588B">
            <w:pPr>
              <w:jc w:val="center"/>
              <w:rPr>
                <w:sz w:val="20"/>
                <w:szCs w:val="20"/>
              </w:rPr>
            </w:pPr>
            <w:r w:rsidRPr="008E588B">
              <w:rPr>
                <w:sz w:val="20"/>
                <w:szCs w:val="20"/>
              </w:rPr>
              <w:t>-1.195461</w:t>
            </w:r>
            <w:r>
              <w:rPr>
                <w:sz w:val="20"/>
                <w:szCs w:val="20"/>
              </w:rPr>
              <w:t>***</w:t>
            </w:r>
          </w:p>
          <w:p w:rsidR="006A4C1A" w:rsidRPr="00CA7640" w:rsidRDefault="008E588B" w:rsidP="008E588B">
            <w:pPr>
              <w:jc w:val="center"/>
              <w:rPr>
                <w:sz w:val="20"/>
                <w:szCs w:val="20"/>
              </w:rPr>
            </w:pPr>
            <w:r>
              <w:rPr>
                <w:sz w:val="20"/>
                <w:szCs w:val="20"/>
              </w:rPr>
              <w:t>(0</w:t>
            </w:r>
            <w:r w:rsidRPr="008E588B">
              <w:rPr>
                <w:sz w:val="20"/>
                <w:szCs w:val="20"/>
              </w:rPr>
              <w:t>.1066541</w:t>
            </w:r>
            <w:r>
              <w:rPr>
                <w:sz w:val="20"/>
                <w:szCs w:val="20"/>
              </w:rPr>
              <w:t>)</w:t>
            </w:r>
          </w:p>
        </w:tc>
        <w:tc>
          <w:tcPr>
            <w:tcW w:w="1423" w:type="dxa"/>
          </w:tcPr>
          <w:p w:rsidR="00E877B6" w:rsidRDefault="00E877B6" w:rsidP="00B359E3">
            <w:pPr>
              <w:jc w:val="center"/>
              <w:rPr>
                <w:sz w:val="20"/>
                <w:szCs w:val="20"/>
              </w:rPr>
            </w:pPr>
            <w:r w:rsidRPr="00E877B6">
              <w:rPr>
                <w:sz w:val="20"/>
                <w:szCs w:val="20"/>
              </w:rPr>
              <w:t>-1.78113</w:t>
            </w:r>
            <w:r>
              <w:rPr>
                <w:sz w:val="20"/>
                <w:szCs w:val="20"/>
              </w:rPr>
              <w:t>***</w:t>
            </w:r>
          </w:p>
          <w:p w:rsidR="006A4C1A" w:rsidRPr="00CA7640" w:rsidRDefault="00E877B6" w:rsidP="00B359E3">
            <w:pPr>
              <w:jc w:val="center"/>
              <w:rPr>
                <w:sz w:val="20"/>
                <w:szCs w:val="20"/>
              </w:rPr>
            </w:pPr>
            <w:r>
              <w:rPr>
                <w:sz w:val="20"/>
                <w:szCs w:val="20"/>
              </w:rPr>
              <w:t>(0</w:t>
            </w:r>
            <w:r w:rsidRPr="00E877B6">
              <w:rPr>
                <w:sz w:val="20"/>
                <w:szCs w:val="20"/>
              </w:rPr>
              <w:t>.1102927</w:t>
            </w:r>
            <w:r>
              <w:rPr>
                <w:sz w:val="20"/>
                <w:szCs w:val="20"/>
              </w:rPr>
              <w:t>)</w:t>
            </w:r>
          </w:p>
        </w:tc>
        <w:tc>
          <w:tcPr>
            <w:tcW w:w="1817" w:type="dxa"/>
          </w:tcPr>
          <w:p w:rsidR="005D21D9" w:rsidRDefault="005D21D9" w:rsidP="00B359E3">
            <w:pPr>
              <w:jc w:val="center"/>
              <w:rPr>
                <w:sz w:val="20"/>
                <w:szCs w:val="20"/>
              </w:rPr>
            </w:pPr>
            <w:r w:rsidRPr="005D21D9">
              <w:rPr>
                <w:sz w:val="20"/>
                <w:szCs w:val="20"/>
              </w:rPr>
              <w:t>-1.783055</w:t>
            </w:r>
            <w:r>
              <w:rPr>
                <w:sz w:val="20"/>
                <w:szCs w:val="20"/>
              </w:rPr>
              <w:t>***</w:t>
            </w:r>
          </w:p>
          <w:p w:rsidR="006A4C1A" w:rsidRPr="00CA7640" w:rsidRDefault="005D21D9" w:rsidP="00B359E3">
            <w:pPr>
              <w:jc w:val="center"/>
              <w:rPr>
                <w:sz w:val="20"/>
                <w:szCs w:val="20"/>
              </w:rPr>
            </w:pPr>
            <w:r>
              <w:rPr>
                <w:sz w:val="20"/>
                <w:szCs w:val="20"/>
              </w:rPr>
              <w:t>(0</w:t>
            </w:r>
            <w:r w:rsidRPr="005D21D9">
              <w:rPr>
                <w:sz w:val="20"/>
                <w:szCs w:val="20"/>
              </w:rPr>
              <w:t>.1098121</w:t>
            </w:r>
            <w:r>
              <w:rPr>
                <w:sz w:val="20"/>
                <w:szCs w:val="20"/>
              </w:rPr>
              <w:t>)</w:t>
            </w:r>
          </w:p>
        </w:tc>
        <w:tc>
          <w:tcPr>
            <w:tcW w:w="1967" w:type="dxa"/>
          </w:tcPr>
          <w:p w:rsidR="00A06B5C" w:rsidRDefault="00A06B5C" w:rsidP="00A06B5C">
            <w:pPr>
              <w:jc w:val="center"/>
              <w:rPr>
                <w:sz w:val="20"/>
                <w:szCs w:val="20"/>
              </w:rPr>
            </w:pPr>
            <w:r w:rsidRPr="00A06B5C">
              <w:rPr>
                <w:sz w:val="20"/>
                <w:szCs w:val="20"/>
              </w:rPr>
              <w:t>-1.783054</w:t>
            </w:r>
            <w:r w:rsidR="004D217F">
              <w:rPr>
                <w:sz w:val="20"/>
                <w:szCs w:val="20"/>
              </w:rPr>
              <w:t>***</w:t>
            </w:r>
          </w:p>
          <w:p w:rsidR="006A4C1A" w:rsidRPr="00CA7640" w:rsidRDefault="00A06B5C" w:rsidP="00A06B5C">
            <w:pPr>
              <w:jc w:val="center"/>
              <w:rPr>
                <w:sz w:val="20"/>
                <w:szCs w:val="20"/>
              </w:rPr>
            </w:pPr>
            <w:r>
              <w:rPr>
                <w:sz w:val="20"/>
                <w:szCs w:val="20"/>
              </w:rPr>
              <w:t>(0</w:t>
            </w:r>
            <w:r w:rsidRPr="00A06B5C">
              <w:rPr>
                <w:sz w:val="20"/>
                <w:szCs w:val="20"/>
              </w:rPr>
              <w:t>.1100568</w:t>
            </w:r>
            <w:r>
              <w:rPr>
                <w:sz w:val="20"/>
                <w:szCs w:val="20"/>
              </w:rPr>
              <w:t>)</w:t>
            </w:r>
          </w:p>
        </w:tc>
      </w:tr>
      <w:tr w:rsidR="00E877B6" w:rsidTr="0066191E">
        <w:tc>
          <w:tcPr>
            <w:tcW w:w="1800" w:type="dxa"/>
          </w:tcPr>
          <w:p w:rsidR="006A4C1A" w:rsidRPr="00CA7640" w:rsidRDefault="007E34CC" w:rsidP="00E877B6">
            <w:pPr>
              <w:ind w:left="-18"/>
              <w:rPr>
                <w:sz w:val="20"/>
                <w:szCs w:val="20"/>
              </w:rPr>
            </w:pPr>
            <w:r>
              <w:rPr>
                <w:sz w:val="20"/>
                <w:szCs w:val="20"/>
              </w:rPr>
              <w:t xml:space="preserve">Common </w:t>
            </w:r>
            <w:r w:rsidR="006A4C1A" w:rsidRPr="00CA7640">
              <w:rPr>
                <w:sz w:val="20"/>
                <w:szCs w:val="20"/>
              </w:rPr>
              <w:t>Border</w:t>
            </w:r>
          </w:p>
        </w:tc>
        <w:tc>
          <w:tcPr>
            <w:tcW w:w="1617" w:type="dxa"/>
          </w:tcPr>
          <w:p w:rsidR="00ED3A3D" w:rsidRPr="00CA7640" w:rsidRDefault="00ED3A3D" w:rsidP="00B359E3">
            <w:pPr>
              <w:jc w:val="center"/>
              <w:rPr>
                <w:sz w:val="20"/>
                <w:szCs w:val="20"/>
              </w:rPr>
            </w:pPr>
            <w:r w:rsidRPr="00CA7640">
              <w:rPr>
                <w:sz w:val="20"/>
                <w:szCs w:val="20"/>
              </w:rPr>
              <w:t>0.6597334***</w:t>
            </w:r>
          </w:p>
          <w:p w:rsidR="006A4C1A" w:rsidRPr="00CA7640" w:rsidRDefault="00ED3A3D" w:rsidP="00B359E3">
            <w:pPr>
              <w:jc w:val="center"/>
              <w:rPr>
                <w:sz w:val="20"/>
                <w:szCs w:val="20"/>
              </w:rPr>
            </w:pPr>
            <w:r w:rsidRPr="00CA7640">
              <w:rPr>
                <w:sz w:val="20"/>
                <w:szCs w:val="20"/>
              </w:rPr>
              <w:t>(0.1560936)</w:t>
            </w:r>
          </w:p>
        </w:tc>
        <w:tc>
          <w:tcPr>
            <w:tcW w:w="1534" w:type="dxa"/>
          </w:tcPr>
          <w:p w:rsidR="00ED3A3D" w:rsidRPr="00CA7640" w:rsidRDefault="00ED3A3D" w:rsidP="00B359E3">
            <w:pPr>
              <w:jc w:val="center"/>
              <w:rPr>
                <w:sz w:val="20"/>
                <w:szCs w:val="20"/>
              </w:rPr>
            </w:pPr>
            <w:r w:rsidRPr="00CA7640">
              <w:rPr>
                <w:sz w:val="20"/>
                <w:szCs w:val="20"/>
              </w:rPr>
              <w:t>0.6597229***</w:t>
            </w:r>
          </w:p>
          <w:p w:rsidR="006A4C1A" w:rsidRPr="00CA7640" w:rsidRDefault="00ED3A3D" w:rsidP="00B359E3">
            <w:pPr>
              <w:jc w:val="center"/>
              <w:rPr>
                <w:sz w:val="20"/>
                <w:szCs w:val="20"/>
              </w:rPr>
            </w:pPr>
            <w:r w:rsidRPr="00CA7640">
              <w:rPr>
                <w:sz w:val="20"/>
                <w:szCs w:val="20"/>
              </w:rPr>
              <w:t>(0.156179)</w:t>
            </w:r>
          </w:p>
        </w:tc>
        <w:tc>
          <w:tcPr>
            <w:tcW w:w="1440" w:type="dxa"/>
          </w:tcPr>
          <w:p w:rsidR="008E588B" w:rsidRDefault="008E588B" w:rsidP="00B359E3">
            <w:pPr>
              <w:jc w:val="center"/>
              <w:rPr>
                <w:sz w:val="20"/>
                <w:szCs w:val="20"/>
              </w:rPr>
            </w:pPr>
            <w:r>
              <w:rPr>
                <w:sz w:val="20"/>
                <w:szCs w:val="20"/>
              </w:rPr>
              <w:t>0</w:t>
            </w:r>
            <w:r w:rsidRPr="008E588B">
              <w:rPr>
                <w:sz w:val="20"/>
                <w:szCs w:val="20"/>
              </w:rPr>
              <w:t>.6595111</w:t>
            </w:r>
            <w:r>
              <w:rPr>
                <w:sz w:val="20"/>
                <w:szCs w:val="20"/>
              </w:rPr>
              <w:t>***</w:t>
            </w:r>
          </w:p>
          <w:p w:rsidR="006A4C1A" w:rsidRPr="00CA7640" w:rsidRDefault="008E588B" w:rsidP="00B359E3">
            <w:pPr>
              <w:jc w:val="center"/>
              <w:rPr>
                <w:sz w:val="20"/>
                <w:szCs w:val="20"/>
              </w:rPr>
            </w:pPr>
            <w:r>
              <w:rPr>
                <w:sz w:val="20"/>
                <w:szCs w:val="20"/>
              </w:rPr>
              <w:t>(0</w:t>
            </w:r>
            <w:r w:rsidRPr="008E588B">
              <w:rPr>
                <w:sz w:val="20"/>
                <w:szCs w:val="20"/>
              </w:rPr>
              <w:t>.1565191</w:t>
            </w:r>
            <w:r>
              <w:rPr>
                <w:sz w:val="20"/>
                <w:szCs w:val="20"/>
              </w:rPr>
              <w:t>)</w:t>
            </w:r>
          </w:p>
        </w:tc>
        <w:tc>
          <w:tcPr>
            <w:tcW w:w="1423" w:type="dxa"/>
          </w:tcPr>
          <w:p w:rsidR="00E877B6" w:rsidRDefault="00E877B6" w:rsidP="00B359E3">
            <w:pPr>
              <w:jc w:val="center"/>
              <w:rPr>
                <w:sz w:val="20"/>
                <w:szCs w:val="20"/>
              </w:rPr>
            </w:pPr>
            <w:r w:rsidRPr="00E877B6">
              <w:rPr>
                <w:sz w:val="20"/>
                <w:szCs w:val="20"/>
              </w:rPr>
              <w:t>-</w:t>
            </w:r>
            <w:r>
              <w:rPr>
                <w:sz w:val="20"/>
                <w:szCs w:val="20"/>
              </w:rPr>
              <w:t>0.161322</w:t>
            </w:r>
          </w:p>
          <w:p w:rsidR="006A4C1A" w:rsidRPr="00CA7640" w:rsidRDefault="00E877B6" w:rsidP="00B359E3">
            <w:pPr>
              <w:jc w:val="center"/>
              <w:rPr>
                <w:sz w:val="20"/>
                <w:szCs w:val="20"/>
              </w:rPr>
            </w:pPr>
            <w:r>
              <w:rPr>
                <w:sz w:val="20"/>
                <w:szCs w:val="20"/>
              </w:rPr>
              <w:t>(0</w:t>
            </w:r>
            <w:r w:rsidRPr="00E877B6">
              <w:rPr>
                <w:sz w:val="20"/>
                <w:szCs w:val="20"/>
              </w:rPr>
              <w:t>.1574241</w:t>
            </w:r>
            <w:r>
              <w:rPr>
                <w:sz w:val="20"/>
                <w:szCs w:val="20"/>
              </w:rPr>
              <w:t>)</w:t>
            </w:r>
          </w:p>
        </w:tc>
        <w:tc>
          <w:tcPr>
            <w:tcW w:w="1817" w:type="dxa"/>
          </w:tcPr>
          <w:p w:rsidR="005D21D9" w:rsidRDefault="005D21D9" w:rsidP="00B359E3">
            <w:pPr>
              <w:jc w:val="center"/>
              <w:rPr>
                <w:sz w:val="20"/>
                <w:szCs w:val="20"/>
              </w:rPr>
            </w:pPr>
            <w:r w:rsidRPr="005D21D9">
              <w:rPr>
                <w:sz w:val="20"/>
                <w:szCs w:val="20"/>
              </w:rPr>
              <w:t>-</w:t>
            </w:r>
            <w:r>
              <w:rPr>
                <w:sz w:val="20"/>
                <w:szCs w:val="20"/>
              </w:rPr>
              <w:t>0</w:t>
            </w:r>
            <w:r w:rsidRPr="005D21D9">
              <w:rPr>
                <w:sz w:val="20"/>
                <w:szCs w:val="20"/>
              </w:rPr>
              <w:t>.1654371</w:t>
            </w:r>
          </w:p>
          <w:p w:rsidR="006A4C1A" w:rsidRPr="00CA7640" w:rsidRDefault="005D21D9" w:rsidP="00B359E3">
            <w:pPr>
              <w:jc w:val="center"/>
              <w:rPr>
                <w:sz w:val="20"/>
                <w:szCs w:val="20"/>
              </w:rPr>
            </w:pPr>
            <w:r w:rsidRPr="005D21D9">
              <w:rPr>
                <w:sz w:val="20"/>
                <w:szCs w:val="20"/>
              </w:rPr>
              <w:t xml:space="preserve"> </w:t>
            </w:r>
            <w:r>
              <w:rPr>
                <w:sz w:val="20"/>
                <w:szCs w:val="20"/>
              </w:rPr>
              <w:t>(0</w:t>
            </w:r>
            <w:r w:rsidRPr="005D21D9">
              <w:rPr>
                <w:sz w:val="20"/>
                <w:szCs w:val="20"/>
              </w:rPr>
              <w:t>.155885</w:t>
            </w:r>
            <w:r>
              <w:rPr>
                <w:sz w:val="20"/>
                <w:szCs w:val="20"/>
              </w:rPr>
              <w:t>)</w:t>
            </w:r>
          </w:p>
        </w:tc>
        <w:tc>
          <w:tcPr>
            <w:tcW w:w="1967" w:type="dxa"/>
          </w:tcPr>
          <w:p w:rsidR="00A06B5C" w:rsidRDefault="00A06B5C" w:rsidP="00A06B5C">
            <w:pPr>
              <w:jc w:val="center"/>
              <w:rPr>
                <w:sz w:val="20"/>
                <w:szCs w:val="20"/>
              </w:rPr>
            </w:pPr>
            <w:r w:rsidRPr="00A06B5C">
              <w:rPr>
                <w:sz w:val="20"/>
                <w:szCs w:val="20"/>
              </w:rPr>
              <w:t>-</w:t>
            </w:r>
            <w:r>
              <w:rPr>
                <w:sz w:val="20"/>
                <w:szCs w:val="20"/>
              </w:rPr>
              <w:t>0</w:t>
            </w:r>
            <w:r w:rsidRPr="00A06B5C">
              <w:rPr>
                <w:sz w:val="20"/>
                <w:szCs w:val="20"/>
              </w:rPr>
              <w:t>.1654279</w:t>
            </w:r>
          </w:p>
          <w:p w:rsidR="006A4C1A" w:rsidRPr="00CA7640" w:rsidRDefault="00A06B5C" w:rsidP="00A06B5C">
            <w:pPr>
              <w:jc w:val="center"/>
              <w:rPr>
                <w:sz w:val="20"/>
                <w:szCs w:val="20"/>
              </w:rPr>
            </w:pPr>
            <w:r>
              <w:rPr>
                <w:sz w:val="20"/>
                <w:szCs w:val="20"/>
              </w:rPr>
              <w:t>(0</w:t>
            </w:r>
            <w:r w:rsidRPr="00A06B5C">
              <w:rPr>
                <w:sz w:val="20"/>
                <w:szCs w:val="20"/>
              </w:rPr>
              <w:t>.1562331</w:t>
            </w:r>
            <w:r>
              <w:rPr>
                <w:sz w:val="20"/>
                <w:szCs w:val="20"/>
              </w:rPr>
              <w:t>)</w:t>
            </w:r>
          </w:p>
        </w:tc>
      </w:tr>
      <w:tr w:rsidR="00E877B6" w:rsidTr="0066191E">
        <w:tc>
          <w:tcPr>
            <w:tcW w:w="1800" w:type="dxa"/>
          </w:tcPr>
          <w:p w:rsidR="00CA7640" w:rsidRPr="009C6DD2" w:rsidRDefault="00CA7640" w:rsidP="009C6DD2">
            <w:pPr>
              <w:rPr>
                <w:sz w:val="20"/>
                <w:szCs w:val="20"/>
                <w:lang w:val="ru-RU"/>
              </w:rPr>
            </w:pPr>
            <w:r w:rsidRPr="00CA7640">
              <w:rPr>
                <w:sz w:val="20"/>
                <w:szCs w:val="20"/>
              </w:rPr>
              <w:t>Sea</w:t>
            </w:r>
            <w:r w:rsidR="009C6DD2">
              <w:rPr>
                <w:sz w:val="20"/>
                <w:szCs w:val="20"/>
              </w:rPr>
              <w:t xml:space="preserve"> trade</w:t>
            </w:r>
          </w:p>
        </w:tc>
        <w:tc>
          <w:tcPr>
            <w:tcW w:w="1617" w:type="dxa"/>
          </w:tcPr>
          <w:p w:rsidR="00CA7640" w:rsidRPr="00CA7640" w:rsidRDefault="00CA7640" w:rsidP="00E877B6">
            <w:pPr>
              <w:jc w:val="center"/>
              <w:rPr>
                <w:sz w:val="20"/>
                <w:szCs w:val="20"/>
              </w:rPr>
            </w:pPr>
            <w:r w:rsidRPr="00CA7640">
              <w:rPr>
                <w:sz w:val="20"/>
                <w:szCs w:val="20"/>
              </w:rPr>
              <w:t>0.2433779</w:t>
            </w:r>
          </w:p>
          <w:p w:rsidR="00CA7640" w:rsidRPr="00CA7640" w:rsidRDefault="00CA7640" w:rsidP="00E877B6">
            <w:pPr>
              <w:jc w:val="center"/>
              <w:rPr>
                <w:sz w:val="20"/>
                <w:szCs w:val="20"/>
              </w:rPr>
            </w:pPr>
            <w:r w:rsidRPr="00CA7640">
              <w:rPr>
                <w:sz w:val="20"/>
                <w:szCs w:val="20"/>
              </w:rPr>
              <w:t>(0.1936338)</w:t>
            </w:r>
          </w:p>
        </w:tc>
        <w:tc>
          <w:tcPr>
            <w:tcW w:w="1534" w:type="dxa"/>
          </w:tcPr>
          <w:p w:rsidR="00CA7640" w:rsidRPr="00CA7640" w:rsidRDefault="00CA7640" w:rsidP="00E877B6">
            <w:pPr>
              <w:jc w:val="center"/>
              <w:rPr>
                <w:sz w:val="20"/>
                <w:szCs w:val="20"/>
              </w:rPr>
            </w:pPr>
            <w:r w:rsidRPr="00CA7640">
              <w:rPr>
                <w:sz w:val="20"/>
                <w:szCs w:val="20"/>
              </w:rPr>
              <w:t>0.2433765</w:t>
            </w:r>
          </w:p>
          <w:p w:rsidR="00CA7640" w:rsidRPr="00CA7640" w:rsidRDefault="00CA7640" w:rsidP="00E877B6">
            <w:pPr>
              <w:jc w:val="center"/>
              <w:rPr>
                <w:sz w:val="20"/>
                <w:szCs w:val="20"/>
              </w:rPr>
            </w:pPr>
            <w:r w:rsidRPr="00CA7640">
              <w:rPr>
                <w:sz w:val="20"/>
                <w:szCs w:val="20"/>
              </w:rPr>
              <w:t>(0.1937397)</w:t>
            </w:r>
          </w:p>
        </w:tc>
        <w:tc>
          <w:tcPr>
            <w:tcW w:w="1440" w:type="dxa"/>
          </w:tcPr>
          <w:p w:rsidR="008E588B" w:rsidRDefault="008E588B" w:rsidP="008E588B">
            <w:pPr>
              <w:jc w:val="center"/>
              <w:rPr>
                <w:sz w:val="20"/>
                <w:szCs w:val="20"/>
              </w:rPr>
            </w:pPr>
            <w:r>
              <w:rPr>
                <w:sz w:val="20"/>
                <w:szCs w:val="20"/>
              </w:rPr>
              <w:t>0</w:t>
            </w:r>
            <w:r w:rsidRPr="008E588B">
              <w:rPr>
                <w:sz w:val="20"/>
                <w:szCs w:val="20"/>
              </w:rPr>
              <w:t>.243199</w:t>
            </w:r>
          </w:p>
          <w:p w:rsidR="00CA7640" w:rsidRPr="00CA7640" w:rsidRDefault="008E588B" w:rsidP="008E588B">
            <w:pPr>
              <w:jc w:val="center"/>
              <w:rPr>
                <w:sz w:val="20"/>
                <w:szCs w:val="20"/>
              </w:rPr>
            </w:pPr>
            <w:r>
              <w:rPr>
                <w:sz w:val="20"/>
                <w:szCs w:val="20"/>
              </w:rPr>
              <w:t>(0</w:t>
            </w:r>
            <w:r w:rsidRPr="008E588B">
              <w:rPr>
                <w:sz w:val="20"/>
                <w:szCs w:val="20"/>
              </w:rPr>
              <w:t>.1941605</w:t>
            </w:r>
            <w:r>
              <w:rPr>
                <w:sz w:val="20"/>
                <w:szCs w:val="20"/>
              </w:rPr>
              <w:t>)</w:t>
            </w:r>
          </w:p>
        </w:tc>
        <w:tc>
          <w:tcPr>
            <w:tcW w:w="1423" w:type="dxa"/>
          </w:tcPr>
          <w:p w:rsidR="00E877B6" w:rsidRDefault="00E877B6" w:rsidP="00E877B6">
            <w:pPr>
              <w:jc w:val="center"/>
              <w:rPr>
                <w:sz w:val="20"/>
                <w:szCs w:val="20"/>
              </w:rPr>
            </w:pPr>
            <w:r w:rsidRPr="00E877B6">
              <w:rPr>
                <w:sz w:val="20"/>
                <w:szCs w:val="20"/>
              </w:rPr>
              <w:t>-</w:t>
            </w:r>
            <w:r>
              <w:rPr>
                <w:sz w:val="20"/>
                <w:szCs w:val="20"/>
              </w:rPr>
              <w:t>0</w:t>
            </w:r>
            <w:r w:rsidRPr="00E877B6">
              <w:rPr>
                <w:sz w:val="20"/>
                <w:szCs w:val="20"/>
              </w:rPr>
              <w:t>.2153875</w:t>
            </w:r>
          </w:p>
          <w:p w:rsidR="00CA7640" w:rsidRPr="00CA7640" w:rsidRDefault="00E877B6" w:rsidP="00E877B6">
            <w:pPr>
              <w:jc w:val="center"/>
              <w:rPr>
                <w:sz w:val="20"/>
                <w:szCs w:val="20"/>
              </w:rPr>
            </w:pPr>
            <w:r>
              <w:rPr>
                <w:sz w:val="20"/>
                <w:szCs w:val="20"/>
              </w:rPr>
              <w:t>(0</w:t>
            </w:r>
            <w:r w:rsidRPr="00E877B6">
              <w:rPr>
                <w:sz w:val="20"/>
                <w:szCs w:val="20"/>
              </w:rPr>
              <w:t>.1805303</w:t>
            </w:r>
            <w:r>
              <w:rPr>
                <w:sz w:val="20"/>
                <w:szCs w:val="20"/>
              </w:rPr>
              <w:t>)</w:t>
            </w:r>
          </w:p>
        </w:tc>
        <w:tc>
          <w:tcPr>
            <w:tcW w:w="1817" w:type="dxa"/>
          </w:tcPr>
          <w:p w:rsidR="005D21D9" w:rsidRDefault="005D21D9" w:rsidP="00B359E3">
            <w:pPr>
              <w:jc w:val="center"/>
              <w:rPr>
                <w:sz w:val="20"/>
                <w:szCs w:val="20"/>
              </w:rPr>
            </w:pPr>
            <w:r w:rsidRPr="005D21D9">
              <w:rPr>
                <w:sz w:val="20"/>
                <w:szCs w:val="20"/>
              </w:rPr>
              <w:t>-</w:t>
            </w:r>
            <w:r>
              <w:rPr>
                <w:sz w:val="20"/>
                <w:szCs w:val="20"/>
              </w:rPr>
              <w:t>0</w:t>
            </w:r>
            <w:r w:rsidRPr="005D21D9">
              <w:rPr>
                <w:sz w:val="20"/>
                <w:szCs w:val="20"/>
              </w:rPr>
              <w:t>.2164295</w:t>
            </w:r>
          </w:p>
          <w:p w:rsidR="00CA7640" w:rsidRPr="00CA7640" w:rsidRDefault="005D21D9" w:rsidP="00B359E3">
            <w:pPr>
              <w:jc w:val="center"/>
              <w:rPr>
                <w:sz w:val="20"/>
                <w:szCs w:val="20"/>
              </w:rPr>
            </w:pPr>
            <w:r>
              <w:rPr>
                <w:sz w:val="20"/>
                <w:szCs w:val="20"/>
              </w:rPr>
              <w:t>(0</w:t>
            </w:r>
            <w:r w:rsidRPr="005D21D9">
              <w:rPr>
                <w:sz w:val="20"/>
                <w:szCs w:val="20"/>
              </w:rPr>
              <w:t>.1804459</w:t>
            </w:r>
            <w:r>
              <w:rPr>
                <w:sz w:val="20"/>
                <w:szCs w:val="20"/>
              </w:rPr>
              <w:t>)</w:t>
            </w:r>
          </w:p>
        </w:tc>
        <w:tc>
          <w:tcPr>
            <w:tcW w:w="1967" w:type="dxa"/>
          </w:tcPr>
          <w:p w:rsidR="00A06B5C" w:rsidRDefault="00A06B5C" w:rsidP="00A06B5C">
            <w:pPr>
              <w:jc w:val="center"/>
              <w:rPr>
                <w:sz w:val="20"/>
                <w:szCs w:val="20"/>
              </w:rPr>
            </w:pPr>
            <w:r w:rsidRPr="00A06B5C">
              <w:rPr>
                <w:sz w:val="20"/>
                <w:szCs w:val="20"/>
              </w:rPr>
              <w:t>-</w:t>
            </w:r>
            <w:r>
              <w:rPr>
                <w:sz w:val="20"/>
                <w:szCs w:val="20"/>
              </w:rPr>
              <w:t>0</w:t>
            </w:r>
            <w:r w:rsidRPr="00A06B5C">
              <w:rPr>
                <w:sz w:val="20"/>
                <w:szCs w:val="20"/>
              </w:rPr>
              <w:t>.216427</w:t>
            </w:r>
          </w:p>
          <w:p w:rsidR="00CA7640" w:rsidRPr="00CA7640" w:rsidRDefault="00A06B5C" w:rsidP="00A06B5C">
            <w:pPr>
              <w:jc w:val="center"/>
              <w:rPr>
                <w:sz w:val="20"/>
                <w:szCs w:val="20"/>
              </w:rPr>
            </w:pPr>
            <w:r>
              <w:rPr>
                <w:sz w:val="20"/>
                <w:szCs w:val="20"/>
              </w:rPr>
              <w:t>(0</w:t>
            </w:r>
            <w:r w:rsidRPr="00A06B5C">
              <w:rPr>
                <w:sz w:val="20"/>
                <w:szCs w:val="20"/>
              </w:rPr>
              <w:t>.1808482</w:t>
            </w:r>
            <w:r>
              <w:rPr>
                <w:sz w:val="20"/>
                <w:szCs w:val="20"/>
              </w:rPr>
              <w:t>)</w:t>
            </w:r>
          </w:p>
        </w:tc>
      </w:tr>
      <w:tr w:rsidR="00E877B6" w:rsidTr="0066191E">
        <w:tc>
          <w:tcPr>
            <w:tcW w:w="1800" w:type="dxa"/>
          </w:tcPr>
          <w:p w:rsidR="00CA7640" w:rsidRPr="00CA7640" w:rsidRDefault="00CA7640" w:rsidP="00E877B6">
            <w:pPr>
              <w:rPr>
                <w:sz w:val="20"/>
                <w:szCs w:val="20"/>
              </w:rPr>
            </w:pPr>
            <w:r w:rsidRPr="00CA7640">
              <w:rPr>
                <w:sz w:val="20"/>
                <w:szCs w:val="20"/>
              </w:rPr>
              <w:t>Same region</w:t>
            </w:r>
          </w:p>
        </w:tc>
        <w:tc>
          <w:tcPr>
            <w:tcW w:w="1617" w:type="dxa"/>
          </w:tcPr>
          <w:p w:rsidR="00CA7640" w:rsidRPr="00CA7640" w:rsidRDefault="00CA7640" w:rsidP="00E877B6">
            <w:pPr>
              <w:jc w:val="center"/>
              <w:rPr>
                <w:sz w:val="20"/>
                <w:szCs w:val="20"/>
              </w:rPr>
            </w:pPr>
            <w:r w:rsidRPr="00CA7640">
              <w:rPr>
                <w:sz w:val="20"/>
                <w:szCs w:val="20"/>
              </w:rPr>
              <w:t>0.8702041***</w:t>
            </w:r>
          </w:p>
          <w:p w:rsidR="00CA7640" w:rsidRPr="00CA7640" w:rsidRDefault="00CA7640" w:rsidP="00E877B6">
            <w:pPr>
              <w:jc w:val="center"/>
              <w:rPr>
                <w:sz w:val="20"/>
                <w:szCs w:val="20"/>
              </w:rPr>
            </w:pPr>
            <w:r w:rsidRPr="00CA7640">
              <w:rPr>
                <w:sz w:val="20"/>
                <w:szCs w:val="20"/>
              </w:rPr>
              <w:t>(0.1978396)</w:t>
            </w:r>
          </w:p>
        </w:tc>
        <w:tc>
          <w:tcPr>
            <w:tcW w:w="1534" w:type="dxa"/>
          </w:tcPr>
          <w:p w:rsidR="00CA7640" w:rsidRPr="00CA7640" w:rsidRDefault="00CA7640" w:rsidP="00B359E3">
            <w:pPr>
              <w:jc w:val="center"/>
              <w:rPr>
                <w:sz w:val="20"/>
                <w:szCs w:val="20"/>
              </w:rPr>
            </w:pPr>
            <w:r w:rsidRPr="00CA7640">
              <w:rPr>
                <w:sz w:val="20"/>
                <w:szCs w:val="20"/>
              </w:rPr>
              <w:t>0.8702644***</w:t>
            </w:r>
          </w:p>
          <w:p w:rsidR="00CA7640" w:rsidRPr="00CA7640" w:rsidRDefault="00CA7640" w:rsidP="00B359E3">
            <w:pPr>
              <w:jc w:val="center"/>
              <w:rPr>
                <w:sz w:val="20"/>
                <w:szCs w:val="20"/>
              </w:rPr>
            </w:pPr>
            <w:r w:rsidRPr="00CA7640">
              <w:rPr>
                <w:sz w:val="20"/>
                <w:szCs w:val="20"/>
              </w:rPr>
              <w:t>(0.1979487)</w:t>
            </w:r>
          </w:p>
        </w:tc>
        <w:tc>
          <w:tcPr>
            <w:tcW w:w="1440" w:type="dxa"/>
          </w:tcPr>
          <w:p w:rsidR="008E588B" w:rsidRDefault="008E588B" w:rsidP="008E588B">
            <w:pPr>
              <w:jc w:val="center"/>
              <w:rPr>
                <w:sz w:val="20"/>
                <w:szCs w:val="20"/>
              </w:rPr>
            </w:pPr>
            <w:r>
              <w:rPr>
                <w:sz w:val="20"/>
                <w:szCs w:val="20"/>
              </w:rPr>
              <w:t>0</w:t>
            </w:r>
            <w:r w:rsidRPr="008E588B">
              <w:rPr>
                <w:sz w:val="20"/>
                <w:szCs w:val="20"/>
              </w:rPr>
              <w:t>.8703137</w:t>
            </w:r>
            <w:r>
              <w:rPr>
                <w:sz w:val="20"/>
                <w:szCs w:val="20"/>
              </w:rPr>
              <w:t>***</w:t>
            </w:r>
          </w:p>
          <w:p w:rsidR="00CA7640" w:rsidRPr="00CA7640" w:rsidRDefault="008E588B" w:rsidP="008E588B">
            <w:pPr>
              <w:jc w:val="center"/>
              <w:rPr>
                <w:sz w:val="20"/>
                <w:szCs w:val="20"/>
              </w:rPr>
            </w:pPr>
            <w:r>
              <w:rPr>
                <w:sz w:val="20"/>
                <w:szCs w:val="20"/>
              </w:rPr>
              <w:t>(0</w:t>
            </w:r>
            <w:r w:rsidRPr="008E588B">
              <w:rPr>
                <w:sz w:val="20"/>
                <w:szCs w:val="20"/>
              </w:rPr>
              <w:t>.198378</w:t>
            </w:r>
            <w:r>
              <w:rPr>
                <w:sz w:val="20"/>
                <w:szCs w:val="20"/>
              </w:rPr>
              <w:t>)</w:t>
            </w:r>
          </w:p>
        </w:tc>
        <w:tc>
          <w:tcPr>
            <w:tcW w:w="1423" w:type="dxa"/>
          </w:tcPr>
          <w:p w:rsidR="00E877B6" w:rsidRDefault="00E877B6" w:rsidP="00E877B6">
            <w:pPr>
              <w:jc w:val="center"/>
              <w:rPr>
                <w:sz w:val="20"/>
                <w:szCs w:val="20"/>
              </w:rPr>
            </w:pPr>
            <w:r w:rsidRPr="00E877B6">
              <w:rPr>
                <w:sz w:val="20"/>
                <w:szCs w:val="20"/>
              </w:rPr>
              <w:t>-</w:t>
            </w:r>
            <w:r>
              <w:rPr>
                <w:sz w:val="20"/>
                <w:szCs w:val="20"/>
              </w:rPr>
              <w:t>0</w:t>
            </w:r>
            <w:r w:rsidRPr="00E877B6">
              <w:rPr>
                <w:sz w:val="20"/>
                <w:szCs w:val="20"/>
              </w:rPr>
              <w:t>.1676744</w:t>
            </w:r>
          </w:p>
          <w:p w:rsidR="00CA7640" w:rsidRPr="00CA7640" w:rsidRDefault="00E877B6" w:rsidP="00E877B6">
            <w:pPr>
              <w:jc w:val="center"/>
              <w:rPr>
                <w:sz w:val="20"/>
                <w:szCs w:val="20"/>
              </w:rPr>
            </w:pPr>
            <w:r>
              <w:rPr>
                <w:sz w:val="20"/>
                <w:szCs w:val="20"/>
              </w:rPr>
              <w:t>(0</w:t>
            </w:r>
            <w:r w:rsidRPr="00E877B6">
              <w:rPr>
                <w:sz w:val="20"/>
                <w:szCs w:val="20"/>
              </w:rPr>
              <w:t>.1963209</w:t>
            </w:r>
            <w:r>
              <w:rPr>
                <w:sz w:val="20"/>
                <w:szCs w:val="20"/>
              </w:rPr>
              <w:t>)</w:t>
            </w:r>
          </w:p>
        </w:tc>
        <w:tc>
          <w:tcPr>
            <w:tcW w:w="1817" w:type="dxa"/>
          </w:tcPr>
          <w:p w:rsidR="005D21D9" w:rsidRDefault="005D21D9" w:rsidP="005D21D9">
            <w:pPr>
              <w:jc w:val="center"/>
              <w:rPr>
                <w:sz w:val="20"/>
                <w:szCs w:val="20"/>
              </w:rPr>
            </w:pPr>
            <w:r w:rsidRPr="005D21D9">
              <w:rPr>
                <w:sz w:val="20"/>
                <w:szCs w:val="20"/>
              </w:rPr>
              <w:t>-</w:t>
            </w:r>
            <w:r>
              <w:rPr>
                <w:sz w:val="20"/>
                <w:szCs w:val="20"/>
              </w:rPr>
              <w:t>0</w:t>
            </w:r>
            <w:r w:rsidRPr="005D21D9">
              <w:rPr>
                <w:sz w:val="20"/>
                <w:szCs w:val="20"/>
              </w:rPr>
              <w:t>.167357</w:t>
            </w:r>
          </w:p>
          <w:p w:rsidR="00CA7640" w:rsidRPr="00CA7640" w:rsidRDefault="005D21D9" w:rsidP="005D21D9">
            <w:pPr>
              <w:jc w:val="center"/>
              <w:rPr>
                <w:sz w:val="20"/>
                <w:szCs w:val="20"/>
              </w:rPr>
            </w:pPr>
            <w:r w:rsidRPr="005D21D9">
              <w:rPr>
                <w:sz w:val="20"/>
                <w:szCs w:val="20"/>
              </w:rPr>
              <w:t xml:space="preserve"> </w:t>
            </w:r>
            <w:r>
              <w:rPr>
                <w:sz w:val="20"/>
                <w:szCs w:val="20"/>
              </w:rPr>
              <w:t>(0</w:t>
            </w:r>
            <w:r w:rsidRPr="005D21D9">
              <w:rPr>
                <w:sz w:val="20"/>
                <w:szCs w:val="20"/>
              </w:rPr>
              <w:t>.1963166</w:t>
            </w:r>
            <w:r>
              <w:rPr>
                <w:sz w:val="20"/>
                <w:szCs w:val="20"/>
              </w:rPr>
              <w:t>)</w:t>
            </w:r>
          </w:p>
        </w:tc>
        <w:tc>
          <w:tcPr>
            <w:tcW w:w="1967" w:type="dxa"/>
          </w:tcPr>
          <w:p w:rsidR="00A06B5C" w:rsidRDefault="00A06B5C" w:rsidP="00A06B5C">
            <w:pPr>
              <w:jc w:val="center"/>
              <w:rPr>
                <w:sz w:val="20"/>
                <w:szCs w:val="20"/>
              </w:rPr>
            </w:pPr>
            <w:r w:rsidRPr="00A06B5C">
              <w:rPr>
                <w:sz w:val="20"/>
                <w:szCs w:val="20"/>
              </w:rPr>
              <w:t>-</w:t>
            </w:r>
            <w:r>
              <w:rPr>
                <w:sz w:val="20"/>
                <w:szCs w:val="20"/>
              </w:rPr>
              <w:t>0</w:t>
            </w:r>
            <w:r w:rsidRPr="00A06B5C">
              <w:rPr>
                <w:sz w:val="20"/>
                <w:szCs w:val="20"/>
              </w:rPr>
              <w:t>.1673819</w:t>
            </w:r>
          </w:p>
          <w:p w:rsidR="00CA7640" w:rsidRPr="00CA7640" w:rsidRDefault="00A06B5C" w:rsidP="00A06B5C">
            <w:pPr>
              <w:jc w:val="center"/>
              <w:rPr>
                <w:sz w:val="20"/>
                <w:szCs w:val="20"/>
              </w:rPr>
            </w:pPr>
            <w:r>
              <w:rPr>
                <w:sz w:val="20"/>
                <w:szCs w:val="20"/>
              </w:rPr>
              <w:t>(0</w:t>
            </w:r>
            <w:r w:rsidRPr="00A06B5C">
              <w:rPr>
                <w:sz w:val="20"/>
                <w:szCs w:val="20"/>
              </w:rPr>
              <w:t>.19675</w:t>
            </w:r>
            <w:r>
              <w:rPr>
                <w:sz w:val="20"/>
                <w:szCs w:val="20"/>
              </w:rPr>
              <w:t>)</w:t>
            </w:r>
          </w:p>
        </w:tc>
      </w:tr>
      <w:tr w:rsidR="00E877B6" w:rsidTr="0066191E">
        <w:tc>
          <w:tcPr>
            <w:tcW w:w="1800" w:type="dxa"/>
          </w:tcPr>
          <w:p w:rsidR="00CA7640" w:rsidRPr="00CA7640" w:rsidRDefault="00CA7640" w:rsidP="00E877B6">
            <w:pPr>
              <w:rPr>
                <w:sz w:val="20"/>
                <w:szCs w:val="20"/>
              </w:rPr>
            </w:pPr>
            <w:r w:rsidRPr="00CA7640">
              <w:rPr>
                <w:sz w:val="20"/>
                <w:szCs w:val="20"/>
              </w:rPr>
              <w:t>Year variables</w:t>
            </w:r>
            <w:r w:rsidR="007E34CC">
              <w:rPr>
                <w:rStyle w:val="a9"/>
                <w:sz w:val="20"/>
                <w:szCs w:val="20"/>
              </w:rPr>
              <w:footnoteReference w:id="4"/>
            </w:r>
          </w:p>
        </w:tc>
        <w:tc>
          <w:tcPr>
            <w:tcW w:w="1617" w:type="dxa"/>
          </w:tcPr>
          <w:p w:rsidR="00CA7640" w:rsidRPr="00CA7640" w:rsidRDefault="00CA7640" w:rsidP="00E877B6">
            <w:pPr>
              <w:jc w:val="center"/>
              <w:rPr>
                <w:sz w:val="20"/>
                <w:szCs w:val="20"/>
              </w:rPr>
            </w:pPr>
            <w:r w:rsidRPr="00CA7640">
              <w:rPr>
                <w:sz w:val="20"/>
                <w:szCs w:val="20"/>
              </w:rPr>
              <w:t>-0.0779722 –</w:t>
            </w:r>
          </w:p>
          <w:p w:rsidR="00CA7640" w:rsidRPr="00CA7640" w:rsidRDefault="00CA7640" w:rsidP="00E877B6">
            <w:pPr>
              <w:jc w:val="center"/>
              <w:rPr>
                <w:sz w:val="20"/>
                <w:szCs w:val="20"/>
              </w:rPr>
            </w:pPr>
            <w:r w:rsidRPr="00CA7640">
              <w:rPr>
                <w:sz w:val="20"/>
                <w:szCs w:val="20"/>
              </w:rPr>
              <w:t>-1.557719</w:t>
            </w:r>
          </w:p>
        </w:tc>
        <w:tc>
          <w:tcPr>
            <w:tcW w:w="1534" w:type="dxa"/>
          </w:tcPr>
          <w:p w:rsidR="00CA7640" w:rsidRPr="00CA7640" w:rsidRDefault="00CA7640" w:rsidP="00B359E3">
            <w:pPr>
              <w:jc w:val="center"/>
              <w:rPr>
                <w:sz w:val="20"/>
                <w:szCs w:val="20"/>
              </w:rPr>
            </w:pPr>
            <w:r w:rsidRPr="00CA7640">
              <w:rPr>
                <w:sz w:val="20"/>
                <w:szCs w:val="20"/>
              </w:rPr>
              <w:t>-.0779687 –</w:t>
            </w:r>
          </w:p>
          <w:p w:rsidR="00CA7640" w:rsidRPr="00CA7640" w:rsidRDefault="00CA7640" w:rsidP="00B359E3">
            <w:pPr>
              <w:jc w:val="center"/>
              <w:rPr>
                <w:sz w:val="20"/>
                <w:szCs w:val="20"/>
              </w:rPr>
            </w:pPr>
            <w:r w:rsidRPr="00CA7640">
              <w:rPr>
                <w:sz w:val="20"/>
                <w:szCs w:val="20"/>
              </w:rPr>
              <w:t>-1.559501</w:t>
            </w:r>
          </w:p>
        </w:tc>
        <w:tc>
          <w:tcPr>
            <w:tcW w:w="1440" w:type="dxa"/>
          </w:tcPr>
          <w:p w:rsidR="00CA7640" w:rsidRDefault="008E588B" w:rsidP="00B359E3">
            <w:pPr>
              <w:jc w:val="center"/>
              <w:rPr>
                <w:sz w:val="20"/>
                <w:szCs w:val="20"/>
              </w:rPr>
            </w:pPr>
            <w:r w:rsidRPr="008E588B">
              <w:rPr>
                <w:sz w:val="20"/>
                <w:szCs w:val="20"/>
              </w:rPr>
              <w:t>-.077999</w:t>
            </w:r>
            <w:r>
              <w:rPr>
                <w:sz w:val="20"/>
                <w:szCs w:val="20"/>
              </w:rPr>
              <w:t xml:space="preserve"> –</w:t>
            </w:r>
          </w:p>
          <w:p w:rsidR="008E588B" w:rsidRPr="00CA7640" w:rsidRDefault="008E588B" w:rsidP="00B359E3">
            <w:pPr>
              <w:jc w:val="center"/>
              <w:rPr>
                <w:sz w:val="20"/>
                <w:szCs w:val="20"/>
              </w:rPr>
            </w:pPr>
            <w:r w:rsidRPr="008E588B">
              <w:rPr>
                <w:sz w:val="20"/>
                <w:szCs w:val="20"/>
              </w:rPr>
              <w:t>-1.568385</w:t>
            </w:r>
          </w:p>
        </w:tc>
        <w:tc>
          <w:tcPr>
            <w:tcW w:w="1423" w:type="dxa"/>
          </w:tcPr>
          <w:p w:rsidR="00CA7640" w:rsidRDefault="00E877B6" w:rsidP="00E877B6">
            <w:pPr>
              <w:jc w:val="center"/>
              <w:rPr>
                <w:sz w:val="20"/>
                <w:szCs w:val="20"/>
              </w:rPr>
            </w:pPr>
            <w:r w:rsidRPr="00E877B6">
              <w:rPr>
                <w:sz w:val="20"/>
                <w:szCs w:val="20"/>
              </w:rPr>
              <w:t>.0942175</w:t>
            </w:r>
            <w:r>
              <w:rPr>
                <w:sz w:val="20"/>
                <w:szCs w:val="20"/>
              </w:rPr>
              <w:t xml:space="preserve"> –</w:t>
            </w:r>
          </w:p>
          <w:p w:rsidR="00E877B6" w:rsidRPr="00CA7640" w:rsidRDefault="00E877B6" w:rsidP="00E877B6">
            <w:pPr>
              <w:jc w:val="center"/>
              <w:rPr>
                <w:sz w:val="20"/>
                <w:szCs w:val="20"/>
              </w:rPr>
            </w:pPr>
            <w:r w:rsidRPr="00E877B6">
              <w:rPr>
                <w:sz w:val="20"/>
                <w:szCs w:val="20"/>
              </w:rPr>
              <w:t>1.554833</w:t>
            </w:r>
          </w:p>
        </w:tc>
        <w:tc>
          <w:tcPr>
            <w:tcW w:w="1817" w:type="dxa"/>
          </w:tcPr>
          <w:p w:rsidR="00CA7640" w:rsidRDefault="005D21D9" w:rsidP="00E877B6">
            <w:pPr>
              <w:jc w:val="center"/>
              <w:rPr>
                <w:sz w:val="20"/>
                <w:szCs w:val="20"/>
              </w:rPr>
            </w:pPr>
            <w:r w:rsidRPr="005D21D9">
              <w:rPr>
                <w:sz w:val="20"/>
                <w:szCs w:val="20"/>
              </w:rPr>
              <w:t>.0942175</w:t>
            </w:r>
            <w:r>
              <w:rPr>
                <w:sz w:val="20"/>
                <w:szCs w:val="20"/>
              </w:rPr>
              <w:t xml:space="preserve"> –</w:t>
            </w:r>
          </w:p>
          <w:p w:rsidR="005D21D9" w:rsidRPr="00CA7640" w:rsidRDefault="005D21D9" w:rsidP="00E877B6">
            <w:pPr>
              <w:jc w:val="center"/>
              <w:rPr>
                <w:sz w:val="20"/>
                <w:szCs w:val="20"/>
              </w:rPr>
            </w:pPr>
            <w:r w:rsidRPr="005D21D9">
              <w:rPr>
                <w:sz w:val="20"/>
                <w:szCs w:val="20"/>
              </w:rPr>
              <w:t>1.553883</w:t>
            </w:r>
          </w:p>
        </w:tc>
        <w:tc>
          <w:tcPr>
            <w:tcW w:w="1967" w:type="dxa"/>
          </w:tcPr>
          <w:p w:rsidR="00CA7640" w:rsidRDefault="00A06B5C" w:rsidP="00E877B6">
            <w:pPr>
              <w:jc w:val="center"/>
              <w:rPr>
                <w:sz w:val="20"/>
                <w:szCs w:val="20"/>
              </w:rPr>
            </w:pPr>
            <w:r w:rsidRPr="00A06B5C">
              <w:rPr>
                <w:sz w:val="20"/>
                <w:szCs w:val="20"/>
              </w:rPr>
              <w:t>.0942175</w:t>
            </w:r>
            <w:r>
              <w:rPr>
                <w:sz w:val="20"/>
                <w:szCs w:val="20"/>
              </w:rPr>
              <w:t xml:space="preserve"> – </w:t>
            </w:r>
          </w:p>
          <w:p w:rsidR="00A06B5C" w:rsidRPr="00CA7640" w:rsidRDefault="00A06B5C" w:rsidP="00E877B6">
            <w:pPr>
              <w:jc w:val="center"/>
              <w:rPr>
                <w:sz w:val="20"/>
                <w:szCs w:val="20"/>
              </w:rPr>
            </w:pPr>
            <w:r w:rsidRPr="00A06B5C">
              <w:rPr>
                <w:sz w:val="20"/>
                <w:szCs w:val="20"/>
              </w:rPr>
              <w:t>1.555024</w:t>
            </w:r>
          </w:p>
        </w:tc>
      </w:tr>
      <w:tr w:rsidR="00E877B6" w:rsidTr="0066191E">
        <w:tc>
          <w:tcPr>
            <w:tcW w:w="1800" w:type="dxa"/>
          </w:tcPr>
          <w:p w:rsidR="00CA7640" w:rsidRPr="00CA7640" w:rsidRDefault="00634FBF" w:rsidP="00E877B6">
            <w:pPr>
              <w:rPr>
                <w:sz w:val="20"/>
                <w:szCs w:val="20"/>
              </w:rPr>
            </w:pPr>
            <w:r>
              <w:rPr>
                <w:sz w:val="20"/>
                <w:szCs w:val="20"/>
              </w:rPr>
              <w:t>Larger</w:t>
            </w:r>
            <w:r w:rsidR="00CA7640" w:rsidRPr="00CA7640">
              <w:rPr>
                <w:sz w:val="20"/>
                <w:szCs w:val="20"/>
              </w:rPr>
              <w:t xml:space="preserve"> economy GDP per capita </w:t>
            </w:r>
          </w:p>
        </w:tc>
        <w:tc>
          <w:tcPr>
            <w:tcW w:w="1617" w:type="dxa"/>
          </w:tcPr>
          <w:p w:rsidR="00CA7640" w:rsidRPr="00CA7640" w:rsidRDefault="00CA7640" w:rsidP="00E877B6">
            <w:pPr>
              <w:jc w:val="center"/>
              <w:rPr>
                <w:sz w:val="20"/>
                <w:szCs w:val="20"/>
              </w:rPr>
            </w:pPr>
            <w:r w:rsidRPr="00CA7640">
              <w:rPr>
                <w:sz w:val="20"/>
                <w:szCs w:val="20"/>
              </w:rPr>
              <w:t>-0.2530251***</w:t>
            </w:r>
          </w:p>
          <w:p w:rsidR="00CA7640" w:rsidRPr="00CA7640" w:rsidRDefault="00CA7640" w:rsidP="00E877B6">
            <w:pPr>
              <w:jc w:val="center"/>
              <w:rPr>
                <w:sz w:val="20"/>
                <w:szCs w:val="20"/>
              </w:rPr>
            </w:pPr>
            <w:r w:rsidRPr="00CA7640">
              <w:rPr>
                <w:sz w:val="20"/>
                <w:szCs w:val="20"/>
              </w:rPr>
              <w:t>(0.0793023)</w:t>
            </w:r>
          </w:p>
        </w:tc>
        <w:tc>
          <w:tcPr>
            <w:tcW w:w="1534" w:type="dxa"/>
          </w:tcPr>
          <w:p w:rsidR="00CA7640" w:rsidRPr="00CA7640" w:rsidRDefault="00CA7640" w:rsidP="00B359E3">
            <w:pPr>
              <w:jc w:val="center"/>
              <w:rPr>
                <w:sz w:val="20"/>
                <w:szCs w:val="20"/>
              </w:rPr>
            </w:pPr>
            <w:r w:rsidRPr="00CA7640">
              <w:rPr>
                <w:sz w:val="20"/>
                <w:szCs w:val="20"/>
              </w:rPr>
              <w:t>-0.253083***</w:t>
            </w:r>
          </w:p>
          <w:p w:rsidR="00CA7640" w:rsidRPr="00CA7640" w:rsidRDefault="00CA7640" w:rsidP="00B359E3">
            <w:pPr>
              <w:jc w:val="center"/>
              <w:rPr>
                <w:sz w:val="20"/>
                <w:szCs w:val="20"/>
              </w:rPr>
            </w:pPr>
            <w:r w:rsidRPr="00CA7640">
              <w:rPr>
                <w:sz w:val="20"/>
                <w:szCs w:val="20"/>
              </w:rPr>
              <w:t>(0.0793478)</w:t>
            </w:r>
          </w:p>
        </w:tc>
        <w:tc>
          <w:tcPr>
            <w:tcW w:w="1440" w:type="dxa"/>
          </w:tcPr>
          <w:p w:rsidR="008E588B" w:rsidRDefault="008E588B" w:rsidP="00B359E3">
            <w:pPr>
              <w:jc w:val="center"/>
              <w:rPr>
                <w:sz w:val="20"/>
                <w:szCs w:val="20"/>
              </w:rPr>
            </w:pPr>
            <w:r w:rsidRPr="008E588B">
              <w:rPr>
                <w:sz w:val="20"/>
                <w:szCs w:val="20"/>
              </w:rPr>
              <w:t>-</w:t>
            </w:r>
            <w:r>
              <w:rPr>
                <w:sz w:val="20"/>
                <w:szCs w:val="20"/>
              </w:rPr>
              <w:t>0</w:t>
            </w:r>
            <w:r w:rsidRPr="008E588B">
              <w:rPr>
                <w:sz w:val="20"/>
                <w:szCs w:val="20"/>
              </w:rPr>
              <w:t>.2528442</w:t>
            </w:r>
            <w:r>
              <w:rPr>
                <w:sz w:val="20"/>
                <w:szCs w:val="20"/>
              </w:rPr>
              <w:t>***</w:t>
            </w:r>
          </w:p>
          <w:p w:rsidR="00CA7640" w:rsidRPr="00CA7640" w:rsidRDefault="008E588B" w:rsidP="00B359E3">
            <w:pPr>
              <w:jc w:val="center"/>
              <w:rPr>
                <w:sz w:val="20"/>
                <w:szCs w:val="20"/>
              </w:rPr>
            </w:pPr>
            <w:r>
              <w:rPr>
                <w:sz w:val="20"/>
                <w:szCs w:val="20"/>
              </w:rPr>
              <w:t>(0</w:t>
            </w:r>
            <w:r w:rsidRPr="008E588B">
              <w:rPr>
                <w:sz w:val="20"/>
                <w:szCs w:val="20"/>
              </w:rPr>
              <w:t>.0795243</w:t>
            </w:r>
            <w:r>
              <w:rPr>
                <w:sz w:val="20"/>
                <w:szCs w:val="20"/>
              </w:rPr>
              <w:t>)</w:t>
            </w:r>
          </w:p>
        </w:tc>
        <w:tc>
          <w:tcPr>
            <w:tcW w:w="1423" w:type="dxa"/>
          </w:tcPr>
          <w:p w:rsidR="00CA7640" w:rsidRPr="00CA7640" w:rsidRDefault="00CA7640" w:rsidP="00E877B6">
            <w:pPr>
              <w:jc w:val="center"/>
              <w:rPr>
                <w:sz w:val="20"/>
                <w:szCs w:val="20"/>
              </w:rPr>
            </w:pPr>
          </w:p>
        </w:tc>
        <w:tc>
          <w:tcPr>
            <w:tcW w:w="1817" w:type="dxa"/>
          </w:tcPr>
          <w:p w:rsidR="00CA7640" w:rsidRPr="00CA7640" w:rsidRDefault="00CA7640" w:rsidP="00E877B6">
            <w:pPr>
              <w:jc w:val="center"/>
              <w:rPr>
                <w:sz w:val="20"/>
                <w:szCs w:val="20"/>
              </w:rPr>
            </w:pPr>
          </w:p>
        </w:tc>
        <w:tc>
          <w:tcPr>
            <w:tcW w:w="1967" w:type="dxa"/>
          </w:tcPr>
          <w:p w:rsidR="00CA7640" w:rsidRPr="00CA7640" w:rsidRDefault="00CA7640" w:rsidP="00E877B6">
            <w:pPr>
              <w:jc w:val="center"/>
              <w:rPr>
                <w:sz w:val="20"/>
                <w:szCs w:val="20"/>
              </w:rPr>
            </w:pPr>
          </w:p>
        </w:tc>
      </w:tr>
      <w:tr w:rsidR="00E877B6" w:rsidTr="0066191E">
        <w:tc>
          <w:tcPr>
            <w:tcW w:w="1800" w:type="dxa"/>
          </w:tcPr>
          <w:p w:rsidR="00CA7640" w:rsidRPr="00CA7640" w:rsidRDefault="00537A2A" w:rsidP="00E877B6">
            <w:pPr>
              <w:rPr>
                <w:sz w:val="20"/>
                <w:szCs w:val="20"/>
              </w:rPr>
            </w:pPr>
            <w:r>
              <w:rPr>
                <w:sz w:val="20"/>
                <w:szCs w:val="20"/>
              </w:rPr>
              <w:t>Smaller e</w:t>
            </w:r>
            <w:r w:rsidR="00CA7640" w:rsidRPr="00CA7640">
              <w:rPr>
                <w:sz w:val="20"/>
                <w:szCs w:val="20"/>
              </w:rPr>
              <w:t>conomy GDP per capita</w:t>
            </w:r>
          </w:p>
        </w:tc>
        <w:tc>
          <w:tcPr>
            <w:tcW w:w="1617" w:type="dxa"/>
          </w:tcPr>
          <w:p w:rsidR="00CA7640" w:rsidRPr="00CA7640" w:rsidRDefault="00CA7640" w:rsidP="00ED3A3D">
            <w:pPr>
              <w:jc w:val="center"/>
              <w:rPr>
                <w:sz w:val="20"/>
                <w:szCs w:val="20"/>
              </w:rPr>
            </w:pPr>
            <w:r w:rsidRPr="00CA7640">
              <w:rPr>
                <w:sz w:val="20"/>
                <w:szCs w:val="20"/>
              </w:rPr>
              <w:t>-0.154481***</w:t>
            </w:r>
          </w:p>
          <w:p w:rsidR="00CA7640" w:rsidRPr="00CA7640" w:rsidRDefault="00CA7640" w:rsidP="00ED3A3D">
            <w:pPr>
              <w:jc w:val="center"/>
              <w:rPr>
                <w:sz w:val="20"/>
                <w:szCs w:val="20"/>
              </w:rPr>
            </w:pPr>
            <w:r w:rsidRPr="00CA7640">
              <w:rPr>
                <w:sz w:val="20"/>
                <w:szCs w:val="20"/>
              </w:rPr>
              <w:t>(0.0384577)</w:t>
            </w:r>
          </w:p>
        </w:tc>
        <w:tc>
          <w:tcPr>
            <w:tcW w:w="1534" w:type="dxa"/>
          </w:tcPr>
          <w:p w:rsidR="00CA7640" w:rsidRPr="00CA7640" w:rsidRDefault="00CA7640" w:rsidP="00CA7640">
            <w:pPr>
              <w:jc w:val="center"/>
              <w:rPr>
                <w:sz w:val="20"/>
                <w:szCs w:val="20"/>
              </w:rPr>
            </w:pPr>
            <w:r w:rsidRPr="00CA7640">
              <w:rPr>
                <w:sz w:val="20"/>
                <w:szCs w:val="20"/>
              </w:rPr>
              <w:t>-0.154499***</w:t>
            </w:r>
          </w:p>
          <w:p w:rsidR="00CA7640" w:rsidRPr="00CA7640" w:rsidRDefault="00CA7640" w:rsidP="00CA7640">
            <w:pPr>
              <w:jc w:val="center"/>
              <w:rPr>
                <w:sz w:val="20"/>
                <w:szCs w:val="20"/>
              </w:rPr>
            </w:pPr>
            <w:r w:rsidRPr="00CA7640">
              <w:rPr>
                <w:sz w:val="20"/>
                <w:szCs w:val="20"/>
              </w:rPr>
              <w:t>(0.0384791)</w:t>
            </w:r>
          </w:p>
        </w:tc>
        <w:tc>
          <w:tcPr>
            <w:tcW w:w="1440" w:type="dxa"/>
          </w:tcPr>
          <w:p w:rsidR="008E588B" w:rsidRDefault="008E588B" w:rsidP="00B359E3">
            <w:pPr>
              <w:jc w:val="center"/>
              <w:rPr>
                <w:sz w:val="20"/>
                <w:szCs w:val="20"/>
              </w:rPr>
            </w:pPr>
            <w:r w:rsidRPr="008E588B">
              <w:rPr>
                <w:sz w:val="20"/>
                <w:szCs w:val="20"/>
              </w:rPr>
              <w:t>-</w:t>
            </w:r>
            <w:r>
              <w:rPr>
                <w:sz w:val="20"/>
                <w:szCs w:val="20"/>
              </w:rPr>
              <w:t>0</w:t>
            </w:r>
            <w:r w:rsidRPr="008E588B">
              <w:rPr>
                <w:sz w:val="20"/>
                <w:szCs w:val="20"/>
              </w:rPr>
              <w:t>.1544665</w:t>
            </w:r>
            <w:r>
              <w:rPr>
                <w:sz w:val="20"/>
                <w:szCs w:val="20"/>
              </w:rPr>
              <w:t>***</w:t>
            </w:r>
          </w:p>
          <w:p w:rsidR="00CA7640" w:rsidRPr="00CA7640" w:rsidRDefault="008E588B" w:rsidP="00B359E3">
            <w:pPr>
              <w:jc w:val="center"/>
              <w:rPr>
                <w:sz w:val="20"/>
                <w:szCs w:val="20"/>
              </w:rPr>
            </w:pPr>
            <w:r>
              <w:rPr>
                <w:sz w:val="20"/>
                <w:szCs w:val="20"/>
              </w:rPr>
              <w:t>(0</w:t>
            </w:r>
            <w:r w:rsidRPr="008E588B">
              <w:rPr>
                <w:sz w:val="20"/>
                <w:szCs w:val="20"/>
              </w:rPr>
              <w:t>.0385627</w:t>
            </w:r>
            <w:r>
              <w:rPr>
                <w:sz w:val="20"/>
                <w:szCs w:val="20"/>
              </w:rPr>
              <w:t>)</w:t>
            </w:r>
          </w:p>
        </w:tc>
        <w:tc>
          <w:tcPr>
            <w:tcW w:w="1423" w:type="dxa"/>
          </w:tcPr>
          <w:p w:rsidR="00CA7640" w:rsidRPr="00CA7640" w:rsidRDefault="00CA7640" w:rsidP="00E877B6">
            <w:pPr>
              <w:jc w:val="center"/>
              <w:rPr>
                <w:sz w:val="20"/>
                <w:szCs w:val="20"/>
              </w:rPr>
            </w:pPr>
          </w:p>
        </w:tc>
        <w:tc>
          <w:tcPr>
            <w:tcW w:w="1817" w:type="dxa"/>
          </w:tcPr>
          <w:p w:rsidR="00CA7640" w:rsidRPr="00CA7640" w:rsidRDefault="00CA7640" w:rsidP="00E877B6">
            <w:pPr>
              <w:jc w:val="center"/>
              <w:rPr>
                <w:sz w:val="20"/>
                <w:szCs w:val="20"/>
              </w:rPr>
            </w:pPr>
          </w:p>
        </w:tc>
        <w:tc>
          <w:tcPr>
            <w:tcW w:w="1967" w:type="dxa"/>
          </w:tcPr>
          <w:p w:rsidR="00CA7640" w:rsidRPr="00CA7640" w:rsidRDefault="00CA7640" w:rsidP="00E877B6">
            <w:pPr>
              <w:jc w:val="center"/>
              <w:rPr>
                <w:sz w:val="20"/>
                <w:szCs w:val="20"/>
              </w:rPr>
            </w:pPr>
          </w:p>
        </w:tc>
      </w:tr>
      <w:tr w:rsidR="00E877B6" w:rsidTr="0066191E">
        <w:tc>
          <w:tcPr>
            <w:tcW w:w="1800" w:type="dxa"/>
          </w:tcPr>
          <w:p w:rsidR="00CA7640" w:rsidRPr="00CA7640" w:rsidRDefault="00CA7640" w:rsidP="00E877B6">
            <w:pPr>
              <w:rPr>
                <w:sz w:val="20"/>
                <w:szCs w:val="20"/>
              </w:rPr>
            </w:pPr>
            <w:r w:rsidRPr="00CA7640">
              <w:rPr>
                <w:sz w:val="20"/>
                <w:szCs w:val="20"/>
              </w:rPr>
              <w:t xml:space="preserve">Trade between Russia, Kazakhstan and Belarus </w:t>
            </w:r>
          </w:p>
        </w:tc>
        <w:tc>
          <w:tcPr>
            <w:tcW w:w="1617" w:type="dxa"/>
          </w:tcPr>
          <w:p w:rsidR="00CA7640" w:rsidRPr="00CA7640" w:rsidRDefault="00CA7640" w:rsidP="00E877B6">
            <w:pPr>
              <w:jc w:val="center"/>
              <w:rPr>
                <w:sz w:val="20"/>
                <w:szCs w:val="20"/>
              </w:rPr>
            </w:pPr>
            <w:r w:rsidRPr="00CA7640">
              <w:rPr>
                <w:sz w:val="20"/>
                <w:szCs w:val="20"/>
              </w:rPr>
              <w:t>0.1994546</w:t>
            </w:r>
          </w:p>
          <w:p w:rsidR="00CA7640" w:rsidRPr="00CA7640" w:rsidRDefault="00CA7640" w:rsidP="00E877B6">
            <w:pPr>
              <w:jc w:val="center"/>
              <w:rPr>
                <w:sz w:val="20"/>
                <w:szCs w:val="20"/>
              </w:rPr>
            </w:pPr>
            <w:r w:rsidRPr="00CA7640">
              <w:rPr>
                <w:sz w:val="20"/>
                <w:szCs w:val="20"/>
              </w:rPr>
              <w:t>(0.207222)</w:t>
            </w:r>
          </w:p>
        </w:tc>
        <w:tc>
          <w:tcPr>
            <w:tcW w:w="1534" w:type="dxa"/>
          </w:tcPr>
          <w:p w:rsidR="00CA7640" w:rsidRPr="00CA7640" w:rsidRDefault="00CA7640" w:rsidP="00B359E3">
            <w:pPr>
              <w:jc w:val="center"/>
              <w:rPr>
                <w:sz w:val="20"/>
                <w:szCs w:val="20"/>
              </w:rPr>
            </w:pPr>
            <w:r w:rsidRPr="00CA7640">
              <w:rPr>
                <w:sz w:val="20"/>
                <w:szCs w:val="20"/>
              </w:rPr>
              <w:t>0.1868181</w:t>
            </w:r>
          </w:p>
          <w:p w:rsidR="00CA7640" w:rsidRPr="00CA7640" w:rsidRDefault="008E588B" w:rsidP="00B359E3">
            <w:pPr>
              <w:jc w:val="center"/>
              <w:rPr>
                <w:sz w:val="20"/>
                <w:szCs w:val="20"/>
              </w:rPr>
            </w:pPr>
            <w:r>
              <w:rPr>
                <w:sz w:val="20"/>
                <w:szCs w:val="20"/>
              </w:rPr>
              <w:t>(</w:t>
            </w:r>
            <w:r w:rsidR="00CA7640" w:rsidRPr="00CA7640">
              <w:rPr>
                <w:sz w:val="20"/>
                <w:szCs w:val="20"/>
              </w:rPr>
              <w:t>0.2428436</w:t>
            </w:r>
            <w:r>
              <w:rPr>
                <w:sz w:val="20"/>
                <w:szCs w:val="20"/>
              </w:rPr>
              <w:t>)</w:t>
            </w:r>
          </w:p>
        </w:tc>
        <w:tc>
          <w:tcPr>
            <w:tcW w:w="1440" w:type="dxa"/>
          </w:tcPr>
          <w:p w:rsidR="008E588B" w:rsidRDefault="008E588B" w:rsidP="008E588B">
            <w:pPr>
              <w:jc w:val="center"/>
              <w:rPr>
                <w:sz w:val="20"/>
                <w:szCs w:val="20"/>
              </w:rPr>
            </w:pPr>
            <w:r>
              <w:rPr>
                <w:sz w:val="20"/>
                <w:szCs w:val="20"/>
              </w:rPr>
              <w:t>0</w:t>
            </w:r>
            <w:r w:rsidRPr="008E588B">
              <w:rPr>
                <w:sz w:val="20"/>
                <w:szCs w:val="20"/>
              </w:rPr>
              <w:t>.1866279</w:t>
            </w:r>
          </w:p>
          <w:p w:rsidR="00CA7640" w:rsidRPr="00CA7640" w:rsidRDefault="008E588B" w:rsidP="008E588B">
            <w:pPr>
              <w:jc w:val="center"/>
              <w:rPr>
                <w:sz w:val="20"/>
                <w:szCs w:val="20"/>
              </w:rPr>
            </w:pPr>
            <w:r>
              <w:rPr>
                <w:sz w:val="20"/>
                <w:szCs w:val="20"/>
              </w:rPr>
              <w:t>(0</w:t>
            </w:r>
            <w:r w:rsidRPr="008E588B">
              <w:rPr>
                <w:sz w:val="20"/>
                <w:szCs w:val="20"/>
              </w:rPr>
              <w:t>.2433708</w:t>
            </w:r>
            <w:r>
              <w:rPr>
                <w:sz w:val="20"/>
                <w:szCs w:val="20"/>
              </w:rPr>
              <w:t>)</w:t>
            </w:r>
          </w:p>
        </w:tc>
        <w:tc>
          <w:tcPr>
            <w:tcW w:w="1423" w:type="dxa"/>
          </w:tcPr>
          <w:p w:rsidR="00E877B6" w:rsidRDefault="00E877B6" w:rsidP="00E877B6">
            <w:pPr>
              <w:jc w:val="center"/>
              <w:rPr>
                <w:sz w:val="20"/>
                <w:szCs w:val="20"/>
              </w:rPr>
            </w:pPr>
            <w:r w:rsidRPr="00E877B6">
              <w:rPr>
                <w:sz w:val="20"/>
                <w:szCs w:val="20"/>
              </w:rPr>
              <w:t>-</w:t>
            </w:r>
            <w:r>
              <w:rPr>
                <w:sz w:val="20"/>
                <w:szCs w:val="20"/>
              </w:rPr>
              <w:t>0</w:t>
            </w:r>
            <w:r w:rsidRPr="00E877B6">
              <w:rPr>
                <w:sz w:val="20"/>
                <w:szCs w:val="20"/>
              </w:rPr>
              <w:t>.0250499</w:t>
            </w:r>
          </w:p>
          <w:p w:rsidR="00CA7640" w:rsidRPr="00CA7640" w:rsidRDefault="00E877B6" w:rsidP="00E877B6">
            <w:pPr>
              <w:jc w:val="center"/>
              <w:rPr>
                <w:sz w:val="20"/>
                <w:szCs w:val="20"/>
              </w:rPr>
            </w:pPr>
            <w:r w:rsidRPr="00E877B6">
              <w:rPr>
                <w:sz w:val="20"/>
                <w:szCs w:val="20"/>
              </w:rPr>
              <w:t xml:space="preserve">   </w:t>
            </w:r>
            <w:r>
              <w:rPr>
                <w:sz w:val="20"/>
                <w:szCs w:val="20"/>
              </w:rPr>
              <w:t>(0</w:t>
            </w:r>
            <w:r w:rsidRPr="00E877B6">
              <w:rPr>
                <w:sz w:val="20"/>
                <w:szCs w:val="20"/>
              </w:rPr>
              <w:t>.1919032</w:t>
            </w:r>
            <w:r>
              <w:rPr>
                <w:sz w:val="20"/>
                <w:szCs w:val="20"/>
              </w:rPr>
              <w:t>)</w:t>
            </w:r>
          </w:p>
        </w:tc>
        <w:tc>
          <w:tcPr>
            <w:tcW w:w="1817" w:type="dxa"/>
          </w:tcPr>
          <w:p w:rsidR="00CA7640" w:rsidRPr="00CA7640" w:rsidRDefault="00CA7640" w:rsidP="00E877B6">
            <w:pPr>
              <w:jc w:val="center"/>
              <w:rPr>
                <w:sz w:val="20"/>
                <w:szCs w:val="20"/>
              </w:rPr>
            </w:pPr>
          </w:p>
        </w:tc>
        <w:tc>
          <w:tcPr>
            <w:tcW w:w="1967" w:type="dxa"/>
          </w:tcPr>
          <w:p w:rsidR="00CA7640" w:rsidRPr="00CA7640" w:rsidRDefault="00CA7640" w:rsidP="00E877B6">
            <w:pPr>
              <w:jc w:val="center"/>
              <w:rPr>
                <w:sz w:val="20"/>
                <w:szCs w:val="20"/>
              </w:rPr>
            </w:pPr>
          </w:p>
        </w:tc>
      </w:tr>
      <w:tr w:rsidR="00E877B6" w:rsidTr="0066191E">
        <w:tc>
          <w:tcPr>
            <w:tcW w:w="1800" w:type="dxa"/>
          </w:tcPr>
          <w:p w:rsidR="00CA7640" w:rsidRPr="00CA7640" w:rsidRDefault="00CA7640">
            <w:pPr>
              <w:rPr>
                <w:sz w:val="20"/>
                <w:szCs w:val="20"/>
              </w:rPr>
            </w:pPr>
          </w:p>
        </w:tc>
        <w:tc>
          <w:tcPr>
            <w:tcW w:w="1617" w:type="dxa"/>
          </w:tcPr>
          <w:p w:rsidR="00CA7640" w:rsidRPr="00CA7640" w:rsidRDefault="00CA7640" w:rsidP="00B359E3">
            <w:pPr>
              <w:jc w:val="center"/>
              <w:rPr>
                <w:sz w:val="20"/>
                <w:szCs w:val="20"/>
              </w:rPr>
            </w:pPr>
          </w:p>
        </w:tc>
        <w:tc>
          <w:tcPr>
            <w:tcW w:w="1534" w:type="dxa"/>
          </w:tcPr>
          <w:p w:rsidR="00CA7640" w:rsidRPr="00CA7640" w:rsidRDefault="00CA7640" w:rsidP="00B359E3">
            <w:pPr>
              <w:jc w:val="center"/>
              <w:rPr>
                <w:sz w:val="20"/>
                <w:szCs w:val="20"/>
              </w:rPr>
            </w:pPr>
          </w:p>
        </w:tc>
        <w:tc>
          <w:tcPr>
            <w:tcW w:w="1440" w:type="dxa"/>
          </w:tcPr>
          <w:p w:rsidR="00CA7640" w:rsidRPr="00CA7640" w:rsidRDefault="00CA7640" w:rsidP="00B359E3">
            <w:pPr>
              <w:jc w:val="center"/>
              <w:rPr>
                <w:sz w:val="20"/>
                <w:szCs w:val="20"/>
              </w:rPr>
            </w:pPr>
          </w:p>
        </w:tc>
        <w:tc>
          <w:tcPr>
            <w:tcW w:w="1423" w:type="dxa"/>
          </w:tcPr>
          <w:p w:rsidR="00CA7640" w:rsidRPr="00CA7640" w:rsidRDefault="00CA7640" w:rsidP="00E877B6">
            <w:pPr>
              <w:jc w:val="center"/>
              <w:rPr>
                <w:sz w:val="20"/>
                <w:szCs w:val="20"/>
              </w:rPr>
            </w:pPr>
          </w:p>
        </w:tc>
        <w:tc>
          <w:tcPr>
            <w:tcW w:w="1817" w:type="dxa"/>
          </w:tcPr>
          <w:p w:rsidR="00CA7640" w:rsidRPr="00CA7640" w:rsidRDefault="00CA7640" w:rsidP="00E877B6">
            <w:pPr>
              <w:jc w:val="center"/>
              <w:rPr>
                <w:sz w:val="20"/>
                <w:szCs w:val="20"/>
              </w:rPr>
            </w:pPr>
          </w:p>
        </w:tc>
        <w:tc>
          <w:tcPr>
            <w:tcW w:w="1967" w:type="dxa"/>
          </w:tcPr>
          <w:p w:rsidR="00CA7640" w:rsidRPr="00CA7640" w:rsidRDefault="00CA7640" w:rsidP="00E877B6">
            <w:pPr>
              <w:jc w:val="center"/>
              <w:rPr>
                <w:sz w:val="20"/>
                <w:szCs w:val="20"/>
              </w:rPr>
            </w:pPr>
          </w:p>
        </w:tc>
      </w:tr>
      <w:tr w:rsidR="00E877B6" w:rsidTr="0066191E">
        <w:tc>
          <w:tcPr>
            <w:tcW w:w="1800" w:type="dxa"/>
          </w:tcPr>
          <w:p w:rsidR="00CA7640" w:rsidRPr="00CA7640" w:rsidRDefault="00CA7640">
            <w:pPr>
              <w:rPr>
                <w:sz w:val="20"/>
                <w:szCs w:val="20"/>
              </w:rPr>
            </w:pPr>
            <w:r w:rsidRPr="00CA7640">
              <w:rPr>
                <w:sz w:val="20"/>
                <w:szCs w:val="20"/>
              </w:rPr>
              <w:t>Constant</w:t>
            </w:r>
          </w:p>
        </w:tc>
        <w:tc>
          <w:tcPr>
            <w:tcW w:w="1617" w:type="dxa"/>
          </w:tcPr>
          <w:p w:rsidR="00CA7640" w:rsidRPr="00CA7640" w:rsidRDefault="00CA7640" w:rsidP="00B359E3">
            <w:pPr>
              <w:jc w:val="center"/>
              <w:rPr>
                <w:sz w:val="20"/>
                <w:szCs w:val="20"/>
              </w:rPr>
            </w:pPr>
            <w:r w:rsidRPr="00CA7640">
              <w:rPr>
                <w:sz w:val="20"/>
                <w:szCs w:val="20"/>
              </w:rPr>
              <w:t>-29.8021***  (1.136283)</w:t>
            </w:r>
          </w:p>
        </w:tc>
        <w:tc>
          <w:tcPr>
            <w:tcW w:w="1534" w:type="dxa"/>
          </w:tcPr>
          <w:p w:rsidR="00CA7640" w:rsidRPr="00CA7640" w:rsidRDefault="00CA7640" w:rsidP="00B359E3">
            <w:pPr>
              <w:jc w:val="center"/>
              <w:rPr>
                <w:sz w:val="20"/>
                <w:szCs w:val="20"/>
              </w:rPr>
            </w:pPr>
            <w:r w:rsidRPr="00CA7640">
              <w:rPr>
                <w:sz w:val="20"/>
                <w:szCs w:val="20"/>
              </w:rPr>
              <w:t>-29.80185***   (1.136907)</w:t>
            </w:r>
          </w:p>
        </w:tc>
        <w:tc>
          <w:tcPr>
            <w:tcW w:w="1440" w:type="dxa"/>
          </w:tcPr>
          <w:p w:rsidR="00CA7640" w:rsidRPr="00CA7640" w:rsidRDefault="008E588B" w:rsidP="00B359E3">
            <w:pPr>
              <w:jc w:val="center"/>
              <w:rPr>
                <w:sz w:val="20"/>
                <w:szCs w:val="20"/>
              </w:rPr>
            </w:pPr>
            <w:r>
              <w:rPr>
                <w:sz w:val="20"/>
                <w:szCs w:val="20"/>
              </w:rPr>
              <w:t>-29.80376***</w:t>
            </w:r>
            <w:r w:rsidRPr="008E588B">
              <w:rPr>
                <w:sz w:val="20"/>
                <w:szCs w:val="20"/>
              </w:rPr>
              <w:t xml:space="preserve">  </w:t>
            </w:r>
            <w:r>
              <w:rPr>
                <w:sz w:val="20"/>
                <w:szCs w:val="20"/>
              </w:rPr>
              <w:t>(</w:t>
            </w:r>
            <w:r w:rsidRPr="008E588B">
              <w:rPr>
                <w:sz w:val="20"/>
                <w:szCs w:val="20"/>
              </w:rPr>
              <w:t>1.139391</w:t>
            </w:r>
            <w:r>
              <w:rPr>
                <w:sz w:val="20"/>
                <w:szCs w:val="20"/>
              </w:rPr>
              <w:t>)</w:t>
            </w:r>
          </w:p>
        </w:tc>
        <w:tc>
          <w:tcPr>
            <w:tcW w:w="1423" w:type="dxa"/>
          </w:tcPr>
          <w:p w:rsidR="00E877B6" w:rsidRDefault="00E877B6" w:rsidP="00B359E3">
            <w:pPr>
              <w:jc w:val="center"/>
              <w:rPr>
                <w:sz w:val="20"/>
                <w:szCs w:val="20"/>
              </w:rPr>
            </w:pPr>
            <w:r>
              <w:rPr>
                <w:sz w:val="20"/>
                <w:szCs w:val="20"/>
              </w:rPr>
              <w:t>20.42966***</w:t>
            </w:r>
          </w:p>
          <w:p w:rsidR="00CA7640" w:rsidRPr="00CA7640" w:rsidRDefault="00E877B6" w:rsidP="00B359E3">
            <w:pPr>
              <w:jc w:val="center"/>
              <w:rPr>
                <w:sz w:val="20"/>
                <w:szCs w:val="20"/>
              </w:rPr>
            </w:pPr>
            <w:r>
              <w:rPr>
                <w:sz w:val="20"/>
                <w:szCs w:val="20"/>
              </w:rPr>
              <w:t>(0</w:t>
            </w:r>
            <w:r w:rsidRPr="00E877B6">
              <w:rPr>
                <w:sz w:val="20"/>
                <w:szCs w:val="20"/>
              </w:rPr>
              <w:t>.9024039</w:t>
            </w:r>
            <w:r>
              <w:rPr>
                <w:sz w:val="20"/>
                <w:szCs w:val="20"/>
              </w:rPr>
              <w:t>)</w:t>
            </w:r>
          </w:p>
        </w:tc>
        <w:tc>
          <w:tcPr>
            <w:tcW w:w="1817" w:type="dxa"/>
          </w:tcPr>
          <w:p w:rsidR="005D21D9" w:rsidRDefault="005D21D9" w:rsidP="00B359E3">
            <w:pPr>
              <w:jc w:val="center"/>
              <w:rPr>
                <w:sz w:val="20"/>
                <w:szCs w:val="20"/>
              </w:rPr>
            </w:pPr>
            <w:r w:rsidRPr="005D21D9">
              <w:rPr>
                <w:sz w:val="20"/>
                <w:szCs w:val="20"/>
              </w:rPr>
              <w:t>20.44709</w:t>
            </w:r>
            <w:r>
              <w:rPr>
                <w:sz w:val="20"/>
                <w:szCs w:val="20"/>
              </w:rPr>
              <w:t>***</w:t>
            </w:r>
          </w:p>
          <w:p w:rsidR="00CA7640" w:rsidRPr="00CA7640" w:rsidRDefault="005D21D9" w:rsidP="00B359E3">
            <w:pPr>
              <w:jc w:val="center"/>
              <w:rPr>
                <w:sz w:val="20"/>
                <w:szCs w:val="20"/>
              </w:rPr>
            </w:pPr>
            <w:r>
              <w:rPr>
                <w:sz w:val="20"/>
                <w:szCs w:val="20"/>
              </w:rPr>
              <w:t>(0</w:t>
            </w:r>
            <w:r w:rsidRPr="005D21D9">
              <w:rPr>
                <w:sz w:val="20"/>
                <w:szCs w:val="20"/>
              </w:rPr>
              <w:t>.8980253</w:t>
            </w:r>
            <w:r>
              <w:rPr>
                <w:sz w:val="20"/>
                <w:szCs w:val="20"/>
              </w:rPr>
              <w:t>)</w:t>
            </w:r>
          </w:p>
        </w:tc>
        <w:tc>
          <w:tcPr>
            <w:tcW w:w="1967" w:type="dxa"/>
          </w:tcPr>
          <w:p w:rsidR="00A06B5C" w:rsidRDefault="00A06B5C" w:rsidP="00A06B5C">
            <w:pPr>
              <w:jc w:val="center"/>
              <w:rPr>
                <w:sz w:val="20"/>
                <w:szCs w:val="20"/>
              </w:rPr>
            </w:pPr>
            <w:r w:rsidRPr="00A06B5C">
              <w:rPr>
                <w:sz w:val="20"/>
                <w:szCs w:val="20"/>
              </w:rPr>
              <w:t>20.44708</w:t>
            </w:r>
            <w:r w:rsidR="004D217F">
              <w:rPr>
                <w:sz w:val="20"/>
                <w:szCs w:val="20"/>
              </w:rPr>
              <w:t>***</w:t>
            </w:r>
          </w:p>
          <w:p w:rsidR="00CA7640" w:rsidRPr="00CA7640" w:rsidRDefault="00A06B5C" w:rsidP="00A06B5C">
            <w:pPr>
              <w:jc w:val="center"/>
              <w:rPr>
                <w:sz w:val="20"/>
                <w:szCs w:val="20"/>
              </w:rPr>
            </w:pPr>
            <w:r>
              <w:rPr>
                <w:sz w:val="20"/>
                <w:szCs w:val="20"/>
              </w:rPr>
              <w:t>(0</w:t>
            </w:r>
            <w:r w:rsidRPr="00A06B5C">
              <w:rPr>
                <w:sz w:val="20"/>
                <w:szCs w:val="20"/>
              </w:rPr>
              <w:t>.900027</w:t>
            </w:r>
            <w:r>
              <w:rPr>
                <w:sz w:val="20"/>
                <w:szCs w:val="20"/>
              </w:rPr>
              <w:t>)</w:t>
            </w:r>
          </w:p>
        </w:tc>
      </w:tr>
      <w:tr w:rsidR="00E877B6" w:rsidTr="0066191E">
        <w:tc>
          <w:tcPr>
            <w:tcW w:w="1800" w:type="dxa"/>
          </w:tcPr>
          <w:p w:rsidR="00CA7640" w:rsidRPr="00CA7640" w:rsidRDefault="00CA7640">
            <w:pPr>
              <w:rPr>
                <w:sz w:val="20"/>
                <w:szCs w:val="20"/>
              </w:rPr>
            </w:pPr>
            <w:r w:rsidRPr="00CA7640">
              <w:rPr>
                <w:sz w:val="20"/>
                <w:szCs w:val="20"/>
              </w:rPr>
              <w:t>R-squared</w:t>
            </w:r>
          </w:p>
        </w:tc>
        <w:tc>
          <w:tcPr>
            <w:tcW w:w="1617" w:type="dxa"/>
          </w:tcPr>
          <w:p w:rsidR="00CA7640" w:rsidRPr="00CA7640" w:rsidRDefault="00CA7640" w:rsidP="00B359E3">
            <w:pPr>
              <w:jc w:val="center"/>
              <w:rPr>
                <w:sz w:val="20"/>
                <w:szCs w:val="20"/>
              </w:rPr>
            </w:pPr>
            <w:r w:rsidRPr="00CA7640">
              <w:rPr>
                <w:sz w:val="20"/>
                <w:szCs w:val="20"/>
              </w:rPr>
              <w:t>0.8388</w:t>
            </w:r>
          </w:p>
        </w:tc>
        <w:tc>
          <w:tcPr>
            <w:tcW w:w="1534" w:type="dxa"/>
          </w:tcPr>
          <w:p w:rsidR="00CA7640" w:rsidRPr="00CA7640" w:rsidRDefault="00CA7640" w:rsidP="00B359E3">
            <w:pPr>
              <w:jc w:val="center"/>
              <w:rPr>
                <w:sz w:val="20"/>
                <w:szCs w:val="20"/>
              </w:rPr>
            </w:pPr>
            <w:r w:rsidRPr="00CA7640">
              <w:rPr>
                <w:sz w:val="20"/>
                <w:szCs w:val="20"/>
              </w:rPr>
              <w:t>0.8388</w:t>
            </w:r>
          </w:p>
        </w:tc>
        <w:tc>
          <w:tcPr>
            <w:tcW w:w="1440" w:type="dxa"/>
          </w:tcPr>
          <w:p w:rsidR="00CA7640" w:rsidRPr="00CA7640" w:rsidRDefault="008E588B" w:rsidP="00B359E3">
            <w:pPr>
              <w:jc w:val="center"/>
              <w:rPr>
                <w:sz w:val="20"/>
                <w:szCs w:val="20"/>
              </w:rPr>
            </w:pPr>
            <w:r w:rsidRPr="008E588B">
              <w:rPr>
                <w:sz w:val="20"/>
                <w:szCs w:val="20"/>
              </w:rPr>
              <w:t>0.8388</w:t>
            </w:r>
          </w:p>
        </w:tc>
        <w:tc>
          <w:tcPr>
            <w:tcW w:w="1423" w:type="dxa"/>
          </w:tcPr>
          <w:p w:rsidR="00CA7640" w:rsidRPr="00CA7640" w:rsidRDefault="00E877B6" w:rsidP="00B359E3">
            <w:pPr>
              <w:jc w:val="center"/>
              <w:rPr>
                <w:sz w:val="20"/>
                <w:szCs w:val="20"/>
              </w:rPr>
            </w:pPr>
            <w:r w:rsidRPr="00E877B6">
              <w:rPr>
                <w:sz w:val="20"/>
                <w:szCs w:val="20"/>
              </w:rPr>
              <w:t>0.8790</w:t>
            </w:r>
          </w:p>
        </w:tc>
        <w:tc>
          <w:tcPr>
            <w:tcW w:w="1817" w:type="dxa"/>
          </w:tcPr>
          <w:p w:rsidR="00CA7640" w:rsidRPr="00CA7640" w:rsidRDefault="005D21D9" w:rsidP="00B359E3">
            <w:pPr>
              <w:jc w:val="center"/>
              <w:rPr>
                <w:sz w:val="20"/>
                <w:szCs w:val="20"/>
              </w:rPr>
            </w:pPr>
            <w:r w:rsidRPr="005D21D9">
              <w:rPr>
                <w:sz w:val="20"/>
                <w:szCs w:val="20"/>
              </w:rPr>
              <w:t>0.8790</w:t>
            </w:r>
          </w:p>
        </w:tc>
        <w:tc>
          <w:tcPr>
            <w:tcW w:w="1967" w:type="dxa"/>
          </w:tcPr>
          <w:p w:rsidR="00CA7640" w:rsidRPr="00CA7640" w:rsidRDefault="00A06B5C" w:rsidP="00B359E3">
            <w:pPr>
              <w:jc w:val="center"/>
              <w:rPr>
                <w:sz w:val="20"/>
                <w:szCs w:val="20"/>
              </w:rPr>
            </w:pPr>
            <w:r w:rsidRPr="00A06B5C">
              <w:rPr>
                <w:sz w:val="20"/>
                <w:szCs w:val="20"/>
              </w:rPr>
              <w:t>0.8790</w:t>
            </w:r>
          </w:p>
        </w:tc>
      </w:tr>
    </w:tbl>
    <w:p w:rsidR="00A46B5D" w:rsidRDefault="00A46B5D"/>
    <w:p w:rsidR="007E34CC" w:rsidRDefault="007E34CC">
      <w:r>
        <w:t>Interpretation of regression results:</w:t>
      </w:r>
    </w:p>
    <w:p w:rsidR="007E34CC" w:rsidRDefault="007E34CC">
      <w:r>
        <w:t xml:space="preserve">1) Both </w:t>
      </w:r>
      <w:r w:rsidR="00634FBF">
        <w:t>large economy GDP and small</w:t>
      </w:r>
      <w:r>
        <w:t xml:space="preserve"> economy GDP have coefficient near 1, and distance </w:t>
      </w:r>
      <w:r w:rsidR="005B61C1">
        <w:t xml:space="preserve">has coefficient slightly smaller than -1. Those coefficients are close to usual results of gravity model analysis. </w:t>
      </w:r>
    </w:p>
    <w:p w:rsidR="005B61C1" w:rsidRDefault="005B61C1">
      <w:r>
        <w:lastRenderedPageBreak/>
        <w:t xml:space="preserve">2) Coefficients for common border, sea border and same region </w:t>
      </w:r>
      <w:r w:rsidR="004D217F">
        <w:t>obtained by</w:t>
      </w:r>
      <w:r>
        <w:t xml:space="preserve"> model</w:t>
      </w:r>
      <w:r w:rsidR="004D217F">
        <w:t xml:space="preserve"> 1</w:t>
      </w:r>
      <w:r w:rsidR="00561E08">
        <w:t xml:space="preserve"> (column</w:t>
      </w:r>
      <w:r>
        <w:t xml:space="preserve"> 1) are positive, among them common border and same region are significant. But second model give</w:t>
      </w:r>
      <w:r w:rsidR="009C6DD2">
        <w:t>s</w:t>
      </w:r>
      <w:r>
        <w:t xml:space="preserve"> us negative insignificant coefficien</w:t>
      </w:r>
      <w:r w:rsidR="009C6DD2">
        <w:t>ts. That means, than in CIS area</w:t>
      </w:r>
      <w:r>
        <w:t xml:space="preserve"> border effect and same region of trade partners doesn’t matter much, distance plays more important role. Also, </w:t>
      </w:r>
      <w:r w:rsidR="003C07FC">
        <w:t>the</w:t>
      </w:r>
      <w:r w:rsidR="004D217F">
        <w:t xml:space="preserve"> sea </w:t>
      </w:r>
      <w:r w:rsidR="009C6DD2">
        <w:t>trade</w:t>
      </w:r>
      <w:r w:rsidR="004D217F">
        <w:t xml:space="preserve"> coefficient</w:t>
      </w:r>
      <w:r w:rsidR="003C07FC">
        <w:t xml:space="preserve"> is</w:t>
      </w:r>
      <w:r>
        <w:t xml:space="preserve"> insignificant, which means that possibility of sea trade doesn’t help countries to promote </w:t>
      </w:r>
      <w:r w:rsidR="004D217F">
        <w:t>bilateral trade</w:t>
      </w:r>
      <w:r>
        <w:t>.</w:t>
      </w:r>
    </w:p>
    <w:p w:rsidR="004D217F" w:rsidRDefault="004D217F">
      <w:r>
        <w:t>3) Y</w:t>
      </w:r>
      <w:r w:rsidR="003C07FC">
        <w:t>ear variables in both models have</w:t>
      </w:r>
      <w:r>
        <w:t xml:space="preserve"> year 2001 as a basis. </w:t>
      </w:r>
      <w:r w:rsidR="009C6DD2">
        <w:t>Y</w:t>
      </w:r>
      <w:r w:rsidR="00DF3C41">
        <w:t>ear coefficients obtained by estimating model 1</w:t>
      </w:r>
      <w:r>
        <w:t xml:space="preserve"> are declining, which means that </w:t>
      </w:r>
      <w:r w:rsidR="009C6DD2">
        <w:t xml:space="preserve">with the course of time </w:t>
      </w:r>
      <w:r>
        <w:t>trade among CIS plays less and less important role</w:t>
      </w:r>
      <w:r w:rsidR="009C6DD2" w:rsidRPr="009C6DD2">
        <w:t xml:space="preserve"> </w:t>
      </w:r>
      <w:r w:rsidR="009C6DD2">
        <w:t>for its members</w:t>
      </w:r>
      <w:r>
        <w:t xml:space="preserve">. </w:t>
      </w:r>
    </w:p>
    <w:p w:rsidR="004D217F" w:rsidRDefault="004D217F">
      <w:r>
        <w:t>4) Both coefficients for GDP per capital in model 1 are negative. With fixed GDP that means that countries with higher population tend to trade more. This is also</w:t>
      </w:r>
      <w:r w:rsidR="009C6DD2">
        <w:t xml:space="preserve"> a</w:t>
      </w:r>
      <w:r>
        <w:t xml:space="preserve"> very intuitive result.</w:t>
      </w:r>
    </w:p>
    <w:p w:rsidR="004D217F" w:rsidRDefault="004D217F">
      <w:r>
        <w:t xml:space="preserve">5) </w:t>
      </w:r>
      <w:r w:rsidR="00C42CC2">
        <w:t>Model 1 shows insignificant but positive coefficient for trade between Russia, Kaz</w:t>
      </w:r>
      <w:r w:rsidR="002D43D4">
        <w:t>akhstan and Belarus. In fact, as</w:t>
      </w:r>
      <w:r w:rsidR="003C07FC">
        <w:t xml:space="preserve"> this is presented by</w:t>
      </w:r>
      <w:r w:rsidR="00C42CC2">
        <w:t xml:space="preserve"> model 2, this effect doesn’t exis</w:t>
      </w:r>
      <w:r w:rsidR="003C07FC">
        <w:t>t, this three countries trade with</w:t>
      </w:r>
      <w:r w:rsidR="00C42CC2">
        <w:t xml:space="preserve"> each other the same as to any another country. This positive coefficient obtai</w:t>
      </w:r>
      <w:r w:rsidR="002D43D4">
        <w:t>ned from estimation of model 1</w:t>
      </w:r>
      <w:r w:rsidR="00C42CC2">
        <w:t xml:space="preserve"> is the result of presence of Belarus. As we see from table 3, Belarus has a very high coefficient compare to its GDP or tend</w:t>
      </w:r>
      <w:r w:rsidR="003C07FC">
        <w:t>s</w:t>
      </w:r>
      <w:r w:rsidR="00C42CC2">
        <w:t xml:space="preserve"> to actively trade with all CIS partners. Because of its insignificance,</w:t>
      </w:r>
      <w:r w:rsidR="003C07FC">
        <w:t xml:space="preserve"> the</w:t>
      </w:r>
      <w:r w:rsidR="00C42CC2">
        <w:t xml:space="preserve"> dummy variable for trade between tree countries was removed from the model</w:t>
      </w:r>
      <w:r w:rsidR="009C6DD2">
        <w:t xml:space="preserve"> 2</w:t>
      </w:r>
      <w:r w:rsidR="00561E08">
        <w:t xml:space="preserve"> (columns</w:t>
      </w:r>
      <w:r w:rsidR="00C42CC2">
        <w:t xml:space="preserve"> 5 and 6).</w:t>
      </w:r>
    </w:p>
    <w:p w:rsidR="006478AD" w:rsidRDefault="00C42CC2">
      <w:r>
        <w:t xml:space="preserve">6) </w:t>
      </w:r>
      <w:r w:rsidR="006478AD">
        <w:t>Both models give us insignificant coefficients for variable</w:t>
      </w:r>
      <w:r w:rsidR="003C07FC">
        <w:t>s</w:t>
      </w:r>
      <w:r w:rsidR="006478AD">
        <w:t>, representing</w:t>
      </w:r>
      <w:r w:rsidR="003C07FC">
        <w:t xml:space="preserve"> for</w:t>
      </w:r>
      <w:r w:rsidR="006478AD">
        <w:t xml:space="preserve"> overall impact of EAEU on trade between three countries. That means that during</w:t>
      </w:r>
      <w:r w:rsidR="003C07FC">
        <w:t xml:space="preserve"> the</w:t>
      </w:r>
      <w:r w:rsidR="006478AD">
        <w:t xml:space="preserve"> period from 2011 to 2015 (existence of the EAEU) </w:t>
      </w:r>
      <w:r w:rsidR="002D43D4">
        <w:t xml:space="preserve">a dynamic of </w:t>
      </w:r>
      <w:r w:rsidR="006478AD">
        <w:t>trade between Russia, Belarus and Kazakhstan follow</w:t>
      </w:r>
      <w:r w:rsidR="002D43D4">
        <w:t>s</w:t>
      </w:r>
      <w:r w:rsidR="001127F7">
        <w:t xml:space="preserve"> a global CIS trend (according to</w:t>
      </w:r>
      <w:r w:rsidR="006478AD">
        <w:t xml:space="preserve"> the</w:t>
      </w:r>
      <w:r w:rsidR="001127F7">
        <w:t xml:space="preserve"> results, obtained by estimating</w:t>
      </w:r>
      <w:r w:rsidR="006478AD">
        <w:t xml:space="preserve"> model 1</w:t>
      </w:r>
      <w:r w:rsidR="001127F7">
        <w:t>,</w:t>
      </w:r>
      <w:r w:rsidR="006478AD">
        <w:t xml:space="preserve"> </w:t>
      </w:r>
      <w:r w:rsidR="001127F7">
        <w:t>trade between those countries was</w:t>
      </w:r>
      <w:r w:rsidR="006478AD">
        <w:t xml:space="preserve"> slightly higher</w:t>
      </w:r>
      <w:r w:rsidR="001127F7">
        <w:t xml:space="preserve"> during </w:t>
      </w:r>
      <w:r w:rsidR="003C07FC">
        <w:t xml:space="preserve">the </w:t>
      </w:r>
      <w:r w:rsidR="001127F7">
        <w:t>overall time period</w:t>
      </w:r>
      <w:r w:rsidR="006478AD">
        <w:t>, but still follows the trend).</w:t>
      </w:r>
    </w:p>
    <w:p w:rsidR="00C42CC2" w:rsidRPr="006478AD" w:rsidRDefault="006478AD">
      <w:r>
        <w:t>Year by year e</w:t>
      </w:r>
      <w:r w:rsidR="002D43D4">
        <w:t>stimation by model 1</w:t>
      </w:r>
      <w:r>
        <w:t xml:space="preserve"> give</w:t>
      </w:r>
      <w:r w:rsidR="001127F7">
        <w:t>s us a slightly higher value of coefficient on dummy variable for</w:t>
      </w:r>
      <w:r>
        <w:t xml:space="preserve"> year </w:t>
      </w:r>
      <w:r w:rsidR="00680BF7">
        <w:t>2015 (but also insignificant), but this effect caused by the economic shock, not by EAEU</w:t>
      </w:r>
      <w:r w:rsidR="002D43D4">
        <w:t xml:space="preserve">, as we </w:t>
      </w:r>
      <w:r w:rsidR="001127F7">
        <w:t>can</w:t>
      </w:r>
      <w:r w:rsidR="002D43D4">
        <w:t xml:space="preserve"> see from model 2</w:t>
      </w:r>
      <w:r w:rsidR="00680BF7">
        <w:t xml:space="preserve">. All the other coefficients are very close to zero and roughly the same, so we could not observe any positive trend. </w:t>
      </w:r>
    </w:p>
    <w:p w:rsidR="00CC4D1F" w:rsidRDefault="00CC4D1F" w:rsidP="008E588B">
      <w:pPr>
        <w:spacing w:after="0" w:line="240" w:lineRule="auto"/>
      </w:pPr>
      <w:r>
        <w:t xml:space="preserve">So the basic statistical result that we got from regression analysis – difference between trade amount of custom union member countries and trade amount of CIS countries during years 2011-2015 is statistically insignificant. </w:t>
      </w:r>
      <w:proofErr w:type="gramStart"/>
      <w:r>
        <w:t>Which</w:t>
      </w:r>
      <w:r w:rsidRPr="005312A2">
        <w:t xml:space="preserve"> </w:t>
      </w:r>
      <w:r>
        <w:t>means</w:t>
      </w:r>
      <w:r w:rsidRPr="005312A2">
        <w:t xml:space="preserve"> </w:t>
      </w:r>
      <w:r>
        <w:t>that</w:t>
      </w:r>
      <w:r w:rsidRPr="005312A2">
        <w:t xml:space="preserve"> </w:t>
      </w:r>
      <w:r w:rsidR="001127F7">
        <w:t>internal trade of among EACU members followed</w:t>
      </w:r>
      <w:r w:rsidR="005312A2">
        <w:t xml:space="preserve"> the global CIS trend.</w:t>
      </w:r>
      <w:proofErr w:type="gramEnd"/>
      <w:r w:rsidR="005312A2">
        <w:t xml:space="preserve"> </w:t>
      </w:r>
    </w:p>
    <w:p w:rsidR="007E34CC" w:rsidRDefault="007E34CC" w:rsidP="008E588B">
      <w:pPr>
        <w:spacing w:after="0" w:line="240" w:lineRule="auto"/>
      </w:pPr>
    </w:p>
    <w:p w:rsidR="008E588B" w:rsidRDefault="008E588B" w:rsidP="008E588B">
      <w:pPr>
        <w:spacing w:after="0" w:line="240" w:lineRule="auto"/>
      </w:pPr>
    </w:p>
    <w:p w:rsidR="008E588B" w:rsidRDefault="008E588B" w:rsidP="008E588B">
      <w:pPr>
        <w:spacing w:after="0" w:line="240" w:lineRule="auto"/>
      </w:pPr>
    </w:p>
    <w:p w:rsidR="008E588B" w:rsidRPr="008E588B" w:rsidRDefault="007E34CC" w:rsidP="008E588B">
      <w:pPr>
        <w:spacing w:after="0" w:line="240" w:lineRule="auto"/>
      </w:pPr>
      <w:r>
        <w:t>Table 3</w:t>
      </w:r>
      <w:r w:rsidR="008E588B" w:rsidRPr="008E588B">
        <w:t>: Sets of coefficients for years’ and countries’ dummy variables</w:t>
      </w:r>
    </w:p>
    <w:tbl>
      <w:tblPr>
        <w:tblStyle w:val="a3"/>
        <w:tblW w:w="0" w:type="auto"/>
        <w:tblLook w:val="04A0" w:firstRow="1" w:lastRow="0" w:firstColumn="1" w:lastColumn="0" w:noHBand="0" w:noVBand="1"/>
      </w:tblPr>
      <w:tblGrid>
        <w:gridCol w:w="1915"/>
        <w:gridCol w:w="1915"/>
        <w:gridCol w:w="1915"/>
        <w:gridCol w:w="1915"/>
        <w:gridCol w:w="1916"/>
      </w:tblGrid>
      <w:tr w:rsidR="00E877B6" w:rsidTr="008E588B">
        <w:tc>
          <w:tcPr>
            <w:tcW w:w="1915" w:type="dxa"/>
          </w:tcPr>
          <w:p w:rsidR="008E588B" w:rsidRPr="008E588B" w:rsidRDefault="008E588B" w:rsidP="008E588B">
            <w:pPr>
              <w:jc w:val="center"/>
            </w:pPr>
          </w:p>
        </w:tc>
        <w:tc>
          <w:tcPr>
            <w:tcW w:w="1915" w:type="dxa"/>
          </w:tcPr>
          <w:p w:rsidR="008E588B" w:rsidRPr="008E588B" w:rsidRDefault="00626D0C" w:rsidP="008E588B">
            <w:pPr>
              <w:jc w:val="center"/>
            </w:pPr>
            <w:r>
              <w:t>Year dummies (column</w:t>
            </w:r>
            <w:r w:rsidR="008E588B" w:rsidRPr="008E588B">
              <w:t xml:space="preserve"> 1)</w:t>
            </w:r>
          </w:p>
        </w:tc>
        <w:tc>
          <w:tcPr>
            <w:tcW w:w="1915" w:type="dxa"/>
          </w:tcPr>
          <w:p w:rsidR="008E588B" w:rsidRPr="008E588B" w:rsidRDefault="00626D0C" w:rsidP="008E588B">
            <w:pPr>
              <w:jc w:val="center"/>
            </w:pPr>
            <w:r>
              <w:t>Year dummies (column</w:t>
            </w:r>
            <w:r w:rsidR="008E588B">
              <w:t xml:space="preserve"> 4</w:t>
            </w:r>
            <w:r w:rsidR="008E588B" w:rsidRPr="008E588B">
              <w:t>)</w:t>
            </w:r>
          </w:p>
        </w:tc>
        <w:tc>
          <w:tcPr>
            <w:tcW w:w="1915" w:type="dxa"/>
          </w:tcPr>
          <w:p w:rsidR="008E588B" w:rsidRPr="008E588B" w:rsidRDefault="008E588B" w:rsidP="008E588B">
            <w:pPr>
              <w:jc w:val="center"/>
            </w:pPr>
          </w:p>
        </w:tc>
        <w:tc>
          <w:tcPr>
            <w:tcW w:w="1916" w:type="dxa"/>
          </w:tcPr>
          <w:p w:rsidR="008E588B" w:rsidRDefault="008E588B" w:rsidP="008E588B">
            <w:pPr>
              <w:jc w:val="center"/>
            </w:pPr>
            <w:r>
              <w:t>Country dummies</w:t>
            </w:r>
          </w:p>
          <w:p w:rsidR="008E588B" w:rsidRPr="008E588B" w:rsidRDefault="00626D0C" w:rsidP="008E588B">
            <w:pPr>
              <w:jc w:val="center"/>
            </w:pPr>
            <w:r>
              <w:t>(column</w:t>
            </w:r>
            <w:r w:rsidR="008E588B">
              <w:t xml:space="preserve"> 4)</w:t>
            </w:r>
          </w:p>
        </w:tc>
      </w:tr>
      <w:tr w:rsidR="00E877B6" w:rsidTr="008E588B">
        <w:tc>
          <w:tcPr>
            <w:tcW w:w="1915" w:type="dxa"/>
          </w:tcPr>
          <w:p w:rsidR="008E588B" w:rsidRPr="008E588B" w:rsidRDefault="008E588B" w:rsidP="008E588B">
            <w:pPr>
              <w:jc w:val="center"/>
            </w:pPr>
            <w:r>
              <w:t>2002</w:t>
            </w:r>
          </w:p>
        </w:tc>
        <w:tc>
          <w:tcPr>
            <w:tcW w:w="1915" w:type="dxa"/>
          </w:tcPr>
          <w:p w:rsidR="008E588B" w:rsidRDefault="008E588B" w:rsidP="008E588B">
            <w:pPr>
              <w:jc w:val="center"/>
            </w:pPr>
            <w:r w:rsidRPr="008E588B">
              <w:t>-</w:t>
            </w:r>
            <w:r>
              <w:t>0</w:t>
            </w:r>
            <w:r w:rsidRPr="008E588B">
              <w:t>.0779722</w:t>
            </w:r>
          </w:p>
          <w:p w:rsidR="008E588B" w:rsidRPr="008E588B" w:rsidRDefault="008E588B" w:rsidP="008E588B">
            <w:pPr>
              <w:jc w:val="center"/>
            </w:pPr>
            <w:r>
              <w:t>(0</w:t>
            </w:r>
            <w:r w:rsidRPr="008E588B">
              <w:t>.2102149</w:t>
            </w:r>
            <w:r>
              <w:t>)</w:t>
            </w:r>
          </w:p>
        </w:tc>
        <w:tc>
          <w:tcPr>
            <w:tcW w:w="1915" w:type="dxa"/>
          </w:tcPr>
          <w:p w:rsidR="008E588B" w:rsidRPr="008E588B" w:rsidRDefault="00E877B6" w:rsidP="00E877B6">
            <w:pPr>
              <w:jc w:val="center"/>
            </w:pPr>
            <w:r>
              <w:t>0</w:t>
            </w:r>
            <w:r w:rsidRPr="00E877B6">
              <w:t xml:space="preserve">.0942175   </w:t>
            </w:r>
            <w:r>
              <w:t>(0</w:t>
            </w:r>
            <w:r w:rsidRPr="00E877B6">
              <w:t>.1826976</w:t>
            </w:r>
            <w:r>
              <w:t>)</w:t>
            </w:r>
          </w:p>
        </w:tc>
        <w:tc>
          <w:tcPr>
            <w:tcW w:w="1915" w:type="dxa"/>
          </w:tcPr>
          <w:p w:rsidR="008E588B" w:rsidRPr="008E588B" w:rsidRDefault="00E877B6" w:rsidP="008E588B">
            <w:pPr>
              <w:jc w:val="center"/>
            </w:pPr>
            <w:r>
              <w:t>Russia</w:t>
            </w:r>
          </w:p>
        </w:tc>
        <w:tc>
          <w:tcPr>
            <w:tcW w:w="1916" w:type="dxa"/>
          </w:tcPr>
          <w:p w:rsidR="00E877B6" w:rsidRDefault="00E877B6" w:rsidP="008E588B">
            <w:pPr>
              <w:jc w:val="center"/>
            </w:pPr>
            <w:r>
              <w:t>5.725046***</w:t>
            </w:r>
          </w:p>
          <w:p w:rsidR="008E588B" w:rsidRPr="008E588B" w:rsidRDefault="00E877B6" w:rsidP="008E588B">
            <w:pPr>
              <w:jc w:val="center"/>
            </w:pPr>
            <w:r>
              <w:t>(0</w:t>
            </w:r>
            <w:r w:rsidRPr="00E877B6">
              <w:t>.1305743</w:t>
            </w:r>
            <w:r>
              <w:t>)</w:t>
            </w:r>
          </w:p>
        </w:tc>
      </w:tr>
      <w:tr w:rsidR="00E877B6" w:rsidTr="008E588B">
        <w:tc>
          <w:tcPr>
            <w:tcW w:w="1915" w:type="dxa"/>
          </w:tcPr>
          <w:p w:rsidR="008E588B" w:rsidRPr="008E588B" w:rsidRDefault="008E588B" w:rsidP="008E588B">
            <w:pPr>
              <w:jc w:val="center"/>
            </w:pPr>
            <w:r>
              <w:t>2003</w:t>
            </w:r>
          </w:p>
        </w:tc>
        <w:tc>
          <w:tcPr>
            <w:tcW w:w="1915" w:type="dxa"/>
          </w:tcPr>
          <w:p w:rsidR="008E588B" w:rsidRDefault="008E588B" w:rsidP="008E588B">
            <w:pPr>
              <w:jc w:val="center"/>
            </w:pPr>
            <w:r w:rsidRPr="008E588B">
              <w:t>-</w:t>
            </w:r>
            <w:r>
              <w:t>0</w:t>
            </w:r>
            <w:r w:rsidRPr="008E588B">
              <w:t>.1960096</w:t>
            </w:r>
          </w:p>
          <w:p w:rsidR="008E588B" w:rsidRPr="008E588B" w:rsidRDefault="008E588B" w:rsidP="008E588B">
            <w:pPr>
              <w:jc w:val="center"/>
            </w:pPr>
            <w:r>
              <w:t>(0</w:t>
            </w:r>
            <w:r w:rsidRPr="008E588B">
              <w:t>.2111645</w:t>
            </w:r>
            <w:r>
              <w:t>)</w:t>
            </w:r>
          </w:p>
        </w:tc>
        <w:tc>
          <w:tcPr>
            <w:tcW w:w="1915" w:type="dxa"/>
          </w:tcPr>
          <w:p w:rsidR="00E877B6" w:rsidRDefault="00E877B6" w:rsidP="00E877B6">
            <w:pPr>
              <w:jc w:val="center"/>
            </w:pPr>
            <w:r>
              <w:t>0</w:t>
            </w:r>
            <w:r w:rsidRPr="00E877B6">
              <w:t>.3265709</w:t>
            </w:r>
            <w:r>
              <w:t>*</w:t>
            </w:r>
          </w:p>
          <w:p w:rsidR="008E588B" w:rsidRPr="008E588B" w:rsidRDefault="00E877B6" w:rsidP="00E877B6">
            <w:pPr>
              <w:jc w:val="center"/>
            </w:pPr>
            <w:r>
              <w:t>(0.</w:t>
            </w:r>
            <w:r w:rsidRPr="00E877B6">
              <w:t>1826976</w:t>
            </w:r>
            <w:r>
              <w:t>)</w:t>
            </w:r>
          </w:p>
        </w:tc>
        <w:tc>
          <w:tcPr>
            <w:tcW w:w="1915" w:type="dxa"/>
          </w:tcPr>
          <w:p w:rsidR="008E588B" w:rsidRPr="008E588B" w:rsidRDefault="00E877B6" w:rsidP="008E588B">
            <w:pPr>
              <w:jc w:val="center"/>
            </w:pPr>
            <w:r>
              <w:t>Kazakhstan</w:t>
            </w:r>
          </w:p>
        </w:tc>
        <w:tc>
          <w:tcPr>
            <w:tcW w:w="1916" w:type="dxa"/>
          </w:tcPr>
          <w:p w:rsidR="00E877B6" w:rsidRDefault="00E877B6" w:rsidP="008E588B">
            <w:pPr>
              <w:jc w:val="center"/>
            </w:pPr>
            <w:r w:rsidRPr="00E877B6">
              <w:t>3.039732</w:t>
            </w:r>
            <w:r>
              <w:t>***</w:t>
            </w:r>
          </w:p>
          <w:p w:rsidR="008E588B" w:rsidRPr="008E588B" w:rsidRDefault="00E877B6" w:rsidP="008E588B">
            <w:pPr>
              <w:jc w:val="center"/>
            </w:pPr>
            <w:r>
              <w:t>(0</w:t>
            </w:r>
            <w:r w:rsidRPr="00E877B6">
              <w:t>.1263513</w:t>
            </w:r>
            <w:r>
              <w:t>)</w:t>
            </w:r>
          </w:p>
        </w:tc>
      </w:tr>
      <w:tr w:rsidR="00E877B6" w:rsidTr="008E588B">
        <w:tc>
          <w:tcPr>
            <w:tcW w:w="1915" w:type="dxa"/>
          </w:tcPr>
          <w:p w:rsidR="008E588B" w:rsidRPr="008E588B" w:rsidRDefault="008E588B" w:rsidP="008E588B">
            <w:pPr>
              <w:jc w:val="center"/>
            </w:pPr>
            <w:r>
              <w:t>2004</w:t>
            </w:r>
          </w:p>
        </w:tc>
        <w:tc>
          <w:tcPr>
            <w:tcW w:w="1915" w:type="dxa"/>
          </w:tcPr>
          <w:p w:rsidR="008E588B" w:rsidRDefault="008E588B" w:rsidP="008E588B">
            <w:pPr>
              <w:jc w:val="center"/>
            </w:pPr>
            <w:r w:rsidRPr="008E588B">
              <w:t>-</w:t>
            </w:r>
            <w:r>
              <w:t>0</w:t>
            </w:r>
            <w:r w:rsidRPr="008E588B">
              <w:t>.3488863</w:t>
            </w:r>
          </w:p>
          <w:p w:rsidR="008E588B" w:rsidRPr="008E588B" w:rsidRDefault="008E588B" w:rsidP="008E588B">
            <w:pPr>
              <w:jc w:val="center"/>
            </w:pPr>
            <w:r>
              <w:t>(0</w:t>
            </w:r>
            <w:r w:rsidRPr="008E588B">
              <w:t>.2138658</w:t>
            </w:r>
            <w:r>
              <w:t>)</w:t>
            </w:r>
          </w:p>
        </w:tc>
        <w:tc>
          <w:tcPr>
            <w:tcW w:w="1915" w:type="dxa"/>
          </w:tcPr>
          <w:p w:rsidR="00E877B6" w:rsidRDefault="00E877B6" w:rsidP="008E588B">
            <w:pPr>
              <w:jc w:val="center"/>
            </w:pPr>
            <w:r>
              <w:t>0</w:t>
            </w:r>
            <w:r w:rsidRPr="00E877B6">
              <w:t>.6172957</w:t>
            </w:r>
            <w:r>
              <w:t>***</w:t>
            </w:r>
          </w:p>
          <w:p w:rsidR="008E588B" w:rsidRPr="008E588B" w:rsidRDefault="00E877B6" w:rsidP="008E588B">
            <w:pPr>
              <w:jc w:val="center"/>
            </w:pPr>
            <w:r>
              <w:t>(0</w:t>
            </w:r>
            <w:r w:rsidRPr="00E877B6">
              <w:t>.1826976</w:t>
            </w:r>
            <w:r>
              <w:t>)</w:t>
            </w:r>
          </w:p>
        </w:tc>
        <w:tc>
          <w:tcPr>
            <w:tcW w:w="1915" w:type="dxa"/>
          </w:tcPr>
          <w:p w:rsidR="008E588B" w:rsidRPr="008E588B" w:rsidRDefault="00E877B6" w:rsidP="008E588B">
            <w:pPr>
              <w:jc w:val="center"/>
            </w:pPr>
            <w:r>
              <w:t>Ukraine</w:t>
            </w:r>
          </w:p>
        </w:tc>
        <w:tc>
          <w:tcPr>
            <w:tcW w:w="1916" w:type="dxa"/>
          </w:tcPr>
          <w:p w:rsidR="00E877B6" w:rsidRDefault="00E877B6" w:rsidP="008E588B">
            <w:pPr>
              <w:jc w:val="center"/>
            </w:pPr>
            <w:r w:rsidRPr="00E877B6">
              <w:t>3.711816</w:t>
            </w:r>
            <w:r>
              <w:t>***</w:t>
            </w:r>
          </w:p>
          <w:p w:rsidR="008E588B" w:rsidRPr="008E588B" w:rsidRDefault="00E877B6" w:rsidP="008E588B">
            <w:pPr>
              <w:jc w:val="center"/>
            </w:pPr>
            <w:r>
              <w:t>(0</w:t>
            </w:r>
            <w:r w:rsidRPr="00E877B6">
              <w:t>.1198187</w:t>
            </w:r>
            <w:r>
              <w:t>)</w:t>
            </w:r>
          </w:p>
        </w:tc>
      </w:tr>
      <w:tr w:rsidR="00E877B6" w:rsidTr="008E588B">
        <w:tc>
          <w:tcPr>
            <w:tcW w:w="1915" w:type="dxa"/>
          </w:tcPr>
          <w:p w:rsidR="008E588B" w:rsidRPr="008E588B" w:rsidRDefault="008E588B" w:rsidP="008E588B">
            <w:pPr>
              <w:jc w:val="center"/>
            </w:pPr>
            <w:r>
              <w:t>2005</w:t>
            </w:r>
          </w:p>
        </w:tc>
        <w:tc>
          <w:tcPr>
            <w:tcW w:w="1915" w:type="dxa"/>
          </w:tcPr>
          <w:p w:rsidR="008E588B" w:rsidRDefault="008E588B" w:rsidP="008E588B">
            <w:pPr>
              <w:jc w:val="center"/>
            </w:pPr>
            <w:r w:rsidRPr="008E588B">
              <w:t>-</w:t>
            </w:r>
            <w:r>
              <w:t>0</w:t>
            </w:r>
            <w:r w:rsidRPr="008E588B">
              <w:t>.394943</w:t>
            </w:r>
            <w:r>
              <w:t>*</w:t>
            </w:r>
          </w:p>
          <w:p w:rsidR="008E588B" w:rsidRPr="008E588B" w:rsidRDefault="008E588B" w:rsidP="008E588B">
            <w:pPr>
              <w:jc w:val="center"/>
            </w:pPr>
            <w:r>
              <w:lastRenderedPageBreak/>
              <w:t>(0</w:t>
            </w:r>
            <w:r w:rsidRPr="008E588B">
              <w:t>.2180052</w:t>
            </w:r>
            <w:r>
              <w:t>)</w:t>
            </w:r>
          </w:p>
        </w:tc>
        <w:tc>
          <w:tcPr>
            <w:tcW w:w="1915" w:type="dxa"/>
          </w:tcPr>
          <w:p w:rsidR="00E877B6" w:rsidRDefault="00E877B6" w:rsidP="008E588B">
            <w:pPr>
              <w:jc w:val="center"/>
            </w:pPr>
            <w:r>
              <w:lastRenderedPageBreak/>
              <w:t>0</w:t>
            </w:r>
            <w:r w:rsidRPr="00E877B6">
              <w:t>.9978289</w:t>
            </w:r>
            <w:r>
              <w:t>***</w:t>
            </w:r>
          </w:p>
          <w:p w:rsidR="008E588B" w:rsidRPr="008E588B" w:rsidRDefault="00E877B6" w:rsidP="008E588B">
            <w:pPr>
              <w:jc w:val="center"/>
            </w:pPr>
            <w:r>
              <w:lastRenderedPageBreak/>
              <w:t>(0</w:t>
            </w:r>
            <w:r w:rsidRPr="00E877B6">
              <w:t>.1826976</w:t>
            </w:r>
            <w:r>
              <w:t>)</w:t>
            </w:r>
          </w:p>
        </w:tc>
        <w:tc>
          <w:tcPr>
            <w:tcW w:w="1915" w:type="dxa"/>
          </w:tcPr>
          <w:p w:rsidR="008E588B" w:rsidRPr="008E588B" w:rsidRDefault="00E877B6" w:rsidP="008E588B">
            <w:pPr>
              <w:jc w:val="center"/>
            </w:pPr>
            <w:r>
              <w:lastRenderedPageBreak/>
              <w:t>Uzbekistan</w:t>
            </w:r>
          </w:p>
        </w:tc>
        <w:tc>
          <w:tcPr>
            <w:tcW w:w="1916" w:type="dxa"/>
          </w:tcPr>
          <w:p w:rsidR="00E877B6" w:rsidRDefault="00E877B6" w:rsidP="008E588B">
            <w:pPr>
              <w:jc w:val="center"/>
            </w:pPr>
            <w:r w:rsidRPr="00E877B6">
              <w:t>1.343032</w:t>
            </w:r>
            <w:r>
              <w:t>***</w:t>
            </w:r>
          </w:p>
          <w:p w:rsidR="008E588B" w:rsidRPr="008E588B" w:rsidRDefault="00E877B6" w:rsidP="008E588B">
            <w:pPr>
              <w:jc w:val="center"/>
            </w:pPr>
            <w:r>
              <w:lastRenderedPageBreak/>
              <w:t>(0</w:t>
            </w:r>
            <w:r w:rsidRPr="00E877B6">
              <w:t>.1268449</w:t>
            </w:r>
            <w:r>
              <w:t>)</w:t>
            </w:r>
          </w:p>
        </w:tc>
      </w:tr>
      <w:tr w:rsidR="00E877B6" w:rsidTr="008E588B">
        <w:tc>
          <w:tcPr>
            <w:tcW w:w="1915" w:type="dxa"/>
          </w:tcPr>
          <w:p w:rsidR="008E588B" w:rsidRPr="008E588B" w:rsidRDefault="008E588B" w:rsidP="008E588B">
            <w:pPr>
              <w:jc w:val="center"/>
            </w:pPr>
            <w:r>
              <w:lastRenderedPageBreak/>
              <w:t>2006</w:t>
            </w:r>
          </w:p>
        </w:tc>
        <w:tc>
          <w:tcPr>
            <w:tcW w:w="1915" w:type="dxa"/>
          </w:tcPr>
          <w:p w:rsidR="008E588B" w:rsidRDefault="008E588B" w:rsidP="008E588B">
            <w:pPr>
              <w:jc w:val="center"/>
            </w:pPr>
            <w:r w:rsidRPr="008E588B">
              <w:t>-</w:t>
            </w:r>
            <w:r>
              <w:t>0</w:t>
            </w:r>
            <w:r w:rsidRPr="008E588B">
              <w:t>.5516076</w:t>
            </w:r>
            <w:r>
              <w:t>**</w:t>
            </w:r>
          </w:p>
          <w:p w:rsidR="008E588B" w:rsidRPr="008E588B" w:rsidRDefault="008E588B" w:rsidP="008E588B">
            <w:pPr>
              <w:jc w:val="center"/>
            </w:pPr>
            <w:r>
              <w:t>(0</w:t>
            </w:r>
            <w:r w:rsidRPr="008E588B">
              <w:t>.2236629</w:t>
            </w:r>
            <w:r>
              <w:t>)</w:t>
            </w:r>
          </w:p>
        </w:tc>
        <w:tc>
          <w:tcPr>
            <w:tcW w:w="1915" w:type="dxa"/>
          </w:tcPr>
          <w:p w:rsidR="00E877B6" w:rsidRDefault="00E877B6" w:rsidP="008E588B">
            <w:pPr>
              <w:jc w:val="center"/>
            </w:pPr>
            <w:r w:rsidRPr="00E877B6">
              <w:t>1.277185</w:t>
            </w:r>
            <w:r>
              <w:t>***</w:t>
            </w:r>
          </w:p>
          <w:p w:rsidR="008E588B" w:rsidRPr="008E588B" w:rsidRDefault="00E877B6" w:rsidP="008E588B">
            <w:pPr>
              <w:jc w:val="center"/>
            </w:pPr>
            <w:r>
              <w:t>(0</w:t>
            </w:r>
            <w:r w:rsidRPr="00E877B6">
              <w:t>.1826976</w:t>
            </w:r>
            <w:r>
              <w:t>)</w:t>
            </w:r>
          </w:p>
        </w:tc>
        <w:tc>
          <w:tcPr>
            <w:tcW w:w="1915" w:type="dxa"/>
          </w:tcPr>
          <w:p w:rsidR="008E588B" w:rsidRPr="008E588B" w:rsidRDefault="00E877B6" w:rsidP="008E588B">
            <w:pPr>
              <w:jc w:val="center"/>
            </w:pPr>
            <w:r>
              <w:t>Belarus</w:t>
            </w:r>
          </w:p>
        </w:tc>
        <w:tc>
          <w:tcPr>
            <w:tcW w:w="1916" w:type="dxa"/>
          </w:tcPr>
          <w:p w:rsidR="00E877B6" w:rsidRDefault="00E877B6" w:rsidP="008E588B">
            <w:pPr>
              <w:jc w:val="center"/>
            </w:pPr>
            <w:r w:rsidRPr="00E877B6">
              <w:t>2.464539</w:t>
            </w:r>
            <w:r>
              <w:t>***</w:t>
            </w:r>
          </w:p>
          <w:p w:rsidR="008E588B" w:rsidRPr="008E588B" w:rsidRDefault="00E877B6" w:rsidP="008E588B">
            <w:pPr>
              <w:jc w:val="center"/>
            </w:pPr>
            <w:r>
              <w:t>(0</w:t>
            </w:r>
            <w:r w:rsidRPr="00E877B6">
              <w:t>.1243116</w:t>
            </w:r>
            <w:r>
              <w:t>)</w:t>
            </w:r>
          </w:p>
        </w:tc>
      </w:tr>
      <w:tr w:rsidR="00E877B6" w:rsidTr="008E588B">
        <w:tc>
          <w:tcPr>
            <w:tcW w:w="1915" w:type="dxa"/>
          </w:tcPr>
          <w:p w:rsidR="008E588B" w:rsidRPr="008E588B" w:rsidRDefault="008E588B" w:rsidP="008E588B">
            <w:pPr>
              <w:jc w:val="center"/>
            </w:pPr>
            <w:r>
              <w:t>2007</w:t>
            </w:r>
          </w:p>
        </w:tc>
        <w:tc>
          <w:tcPr>
            <w:tcW w:w="1915" w:type="dxa"/>
          </w:tcPr>
          <w:p w:rsidR="00534911" w:rsidRDefault="00534911" w:rsidP="008E588B">
            <w:pPr>
              <w:jc w:val="center"/>
            </w:pPr>
            <w:r w:rsidRPr="00534911">
              <w:t>-</w:t>
            </w:r>
            <w:r>
              <w:t>0</w:t>
            </w:r>
            <w:r w:rsidRPr="00534911">
              <w:t>.7299786</w:t>
            </w:r>
            <w:r>
              <w:t>***</w:t>
            </w:r>
          </w:p>
          <w:p w:rsidR="008E588B" w:rsidRPr="008E588B" w:rsidRDefault="00534911" w:rsidP="008E588B">
            <w:pPr>
              <w:jc w:val="center"/>
            </w:pPr>
            <w:r>
              <w:t>(0</w:t>
            </w:r>
            <w:r w:rsidRPr="00534911">
              <w:t>.2319118</w:t>
            </w:r>
            <w:r>
              <w:t>)</w:t>
            </w:r>
          </w:p>
        </w:tc>
        <w:tc>
          <w:tcPr>
            <w:tcW w:w="1915" w:type="dxa"/>
          </w:tcPr>
          <w:p w:rsidR="00E877B6" w:rsidRDefault="00E877B6" w:rsidP="008E588B">
            <w:pPr>
              <w:jc w:val="center"/>
            </w:pPr>
            <w:r w:rsidRPr="00E877B6">
              <w:t>1.622759</w:t>
            </w:r>
            <w:r>
              <w:t>***</w:t>
            </w:r>
          </w:p>
          <w:p w:rsidR="008E588B" w:rsidRPr="008E588B" w:rsidRDefault="00E877B6" w:rsidP="008E588B">
            <w:pPr>
              <w:jc w:val="center"/>
            </w:pPr>
            <w:r>
              <w:t>(0</w:t>
            </w:r>
            <w:r w:rsidRPr="00E877B6">
              <w:t>.1826976</w:t>
            </w:r>
            <w:r>
              <w:t>)</w:t>
            </w:r>
          </w:p>
        </w:tc>
        <w:tc>
          <w:tcPr>
            <w:tcW w:w="1915" w:type="dxa"/>
          </w:tcPr>
          <w:p w:rsidR="008E588B" w:rsidRPr="008E588B" w:rsidRDefault="00E877B6" w:rsidP="008E588B">
            <w:pPr>
              <w:jc w:val="center"/>
            </w:pPr>
            <w:r>
              <w:t>Azerbaijan</w:t>
            </w:r>
          </w:p>
        </w:tc>
        <w:tc>
          <w:tcPr>
            <w:tcW w:w="1916" w:type="dxa"/>
          </w:tcPr>
          <w:p w:rsidR="00E877B6" w:rsidRDefault="00E877B6" w:rsidP="008E588B">
            <w:pPr>
              <w:jc w:val="center"/>
            </w:pPr>
            <w:r w:rsidRPr="00E877B6">
              <w:t>1.184777</w:t>
            </w:r>
            <w:r>
              <w:t>***</w:t>
            </w:r>
          </w:p>
          <w:p w:rsidR="008E588B" w:rsidRPr="008E588B" w:rsidRDefault="00E877B6" w:rsidP="008E588B">
            <w:pPr>
              <w:jc w:val="center"/>
            </w:pPr>
            <w:r>
              <w:t>(0</w:t>
            </w:r>
            <w:r w:rsidRPr="00E877B6">
              <w:t>.1314097</w:t>
            </w:r>
            <w:r>
              <w:t>)</w:t>
            </w:r>
          </w:p>
        </w:tc>
      </w:tr>
      <w:tr w:rsidR="00E877B6" w:rsidTr="008E588B">
        <w:tc>
          <w:tcPr>
            <w:tcW w:w="1915" w:type="dxa"/>
          </w:tcPr>
          <w:p w:rsidR="008E588B" w:rsidRPr="008E588B" w:rsidRDefault="008E588B" w:rsidP="008E588B">
            <w:pPr>
              <w:jc w:val="center"/>
            </w:pPr>
            <w:r>
              <w:t>2008</w:t>
            </w:r>
          </w:p>
        </w:tc>
        <w:tc>
          <w:tcPr>
            <w:tcW w:w="1915" w:type="dxa"/>
          </w:tcPr>
          <w:p w:rsidR="00534911" w:rsidRDefault="00534911" w:rsidP="008E588B">
            <w:pPr>
              <w:jc w:val="center"/>
            </w:pPr>
            <w:r w:rsidRPr="00534911">
              <w:t>-1.107068</w:t>
            </w:r>
            <w:r>
              <w:t>***</w:t>
            </w:r>
          </w:p>
          <w:p w:rsidR="008E588B" w:rsidRPr="008E588B" w:rsidRDefault="00534911" w:rsidP="008E588B">
            <w:pPr>
              <w:jc w:val="center"/>
            </w:pPr>
            <w:r>
              <w:t>(0</w:t>
            </w:r>
            <w:r w:rsidRPr="00534911">
              <w:t>.2417726</w:t>
            </w:r>
            <w:r>
              <w:t>)</w:t>
            </w:r>
          </w:p>
        </w:tc>
        <w:tc>
          <w:tcPr>
            <w:tcW w:w="1915" w:type="dxa"/>
          </w:tcPr>
          <w:p w:rsidR="00E877B6" w:rsidRDefault="00E877B6" w:rsidP="008E588B">
            <w:pPr>
              <w:jc w:val="center"/>
            </w:pPr>
            <w:r w:rsidRPr="00E877B6">
              <w:t>1.774788</w:t>
            </w:r>
            <w:r>
              <w:t>***</w:t>
            </w:r>
          </w:p>
          <w:p w:rsidR="008E588B" w:rsidRPr="008E588B" w:rsidRDefault="00E877B6" w:rsidP="008E588B">
            <w:pPr>
              <w:jc w:val="center"/>
            </w:pPr>
            <w:r>
              <w:t>(0</w:t>
            </w:r>
            <w:r w:rsidRPr="00E877B6">
              <w:t>.1826976</w:t>
            </w:r>
            <w:r>
              <w:t>)</w:t>
            </w:r>
          </w:p>
        </w:tc>
        <w:tc>
          <w:tcPr>
            <w:tcW w:w="1915" w:type="dxa"/>
          </w:tcPr>
          <w:p w:rsidR="008E588B" w:rsidRPr="008E588B" w:rsidRDefault="00E877B6" w:rsidP="008E588B">
            <w:pPr>
              <w:jc w:val="center"/>
            </w:pPr>
            <w:r>
              <w:t>Turkmenistan</w:t>
            </w:r>
          </w:p>
        </w:tc>
        <w:tc>
          <w:tcPr>
            <w:tcW w:w="1916" w:type="dxa"/>
          </w:tcPr>
          <w:p w:rsidR="00E877B6" w:rsidRDefault="00E877B6" w:rsidP="008E588B">
            <w:pPr>
              <w:jc w:val="center"/>
            </w:pPr>
            <w:r w:rsidRPr="00E877B6">
              <w:t>1.043226</w:t>
            </w:r>
            <w:r>
              <w:t>***</w:t>
            </w:r>
          </w:p>
          <w:p w:rsidR="008E588B" w:rsidRPr="008E588B" w:rsidRDefault="00E877B6" w:rsidP="008E588B">
            <w:pPr>
              <w:jc w:val="center"/>
            </w:pPr>
            <w:r>
              <w:t>(0</w:t>
            </w:r>
            <w:r w:rsidRPr="00E877B6">
              <w:t>.127818</w:t>
            </w:r>
            <w:r>
              <w:t>)</w:t>
            </w:r>
          </w:p>
        </w:tc>
      </w:tr>
      <w:tr w:rsidR="00E877B6" w:rsidTr="008E588B">
        <w:tc>
          <w:tcPr>
            <w:tcW w:w="1915" w:type="dxa"/>
          </w:tcPr>
          <w:p w:rsidR="008E588B" w:rsidRPr="008E588B" w:rsidRDefault="008E588B" w:rsidP="008E588B">
            <w:pPr>
              <w:jc w:val="center"/>
            </w:pPr>
            <w:r>
              <w:t>2009</w:t>
            </w:r>
          </w:p>
        </w:tc>
        <w:tc>
          <w:tcPr>
            <w:tcW w:w="1915" w:type="dxa"/>
          </w:tcPr>
          <w:p w:rsidR="00534911" w:rsidRDefault="00534911" w:rsidP="008E588B">
            <w:pPr>
              <w:jc w:val="center"/>
            </w:pPr>
            <w:r w:rsidRPr="00534911">
              <w:t>-1.107863</w:t>
            </w:r>
            <w:r>
              <w:t>***</w:t>
            </w:r>
          </w:p>
          <w:p w:rsidR="008E588B" w:rsidRPr="008E588B" w:rsidRDefault="00534911" w:rsidP="008E588B">
            <w:pPr>
              <w:jc w:val="center"/>
            </w:pPr>
            <w:r>
              <w:t>(0</w:t>
            </w:r>
            <w:r w:rsidRPr="00534911">
              <w:t>.2358177</w:t>
            </w:r>
            <w:r>
              <w:t>)</w:t>
            </w:r>
          </w:p>
        </w:tc>
        <w:tc>
          <w:tcPr>
            <w:tcW w:w="1915" w:type="dxa"/>
          </w:tcPr>
          <w:p w:rsidR="00E877B6" w:rsidRDefault="00E877B6" w:rsidP="008E588B">
            <w:pPr>
              <w:jc w:val="center"/>
            </w:pPr>
            <w:r w:rsidRPr="00E877B6">
              <w:t>1.50046</w:t>
            </w:r>
            <w:r>
              <w:t>***</w:t>
            </w:r>
          </w:p>
          <w:p w:rsidR="008E588B" w:rsidRPr="008E588B" w:rsidRDefault="00E877B6" w:rsidP="008E588B">
            <w:pPr>
              <w:jc w:val="center"/>
            </w:pPr>
            <w:r>
              <w:t>(0</w:t>
            </w:r>
            <w:r w:rsidRPr="00E877B6">
              <w:t>.1826976</w:t>
            </w:r>
            <w:r>
              <w:t>)</w:t>
            </w:r>
          </w:p>
        </w:tc>
        <w:tc>
          <w:tcPr>
            <w:tcW w:w="1915" w:type="dxa"/>
          </w:tcPr>
          <w:p w:rsidR="008E588B" w:rsidRPr="008E588B" w:rsidRDefault="00E877B6" w:rsidP="008E588B">
            <w:pPr>
              <w:jc w:val="center"/>
            </w:pPr>
            <w:r>
              <w:t>Georgia</w:t>
            </w:r>
          </w:p>
        </w:tc>
        <w:tc>
          <w:tcPr>
            <w:tcW w:w="1916" w:type="dxa"/>
          </w:tcPr>
          <w:p w:rsidR="00E877B6" w:rsidRDefault="00E877B6" w:rsidP="008E588B">
            <w:pPr>
              <w:jc w:val="center"/>
            </w:pPr>
            <w:r>
              <w:t>0</w:t>
            </w:r>
            <w:r w:rsidRPr="00E877B6">
              <w:t>.207513</w:t>
            </w:r>
          </w:p>
          <w:p w:rsidR="008E588B" w:rsidRPr="008E588B" w:rsidRDefault="00E877B6" w:rsidP="008E588B">
            <w:pPr>
              <w:jc w:val="center"/>
            </w:pPr>
            <w:r>
              <w:t>(0</w:t>
            </w:r>
            <w:r w:rsidRPr="00E877B6">
              <w:t>.1264982</w:t>
            </w:r>
            <w:r>
              <w:t>)</w:t>
            </w:r>
          </w:p>
        </w:tc>
      </w:tr>
      <w:tr w:rsidR="00E877B6" w:rsidTr="008E588B">
        <w:tc>
          <w:tcPr>
            <w:tcW w:w="1915" w:type="dxa"/>
          </w:tcPr>
          <w:p w:rsidR="008E588B" w:rsidRPr="008E588B" w:rsidRDefault="008E588B" w:rsidP="008E588B">
            <w:pPr>
              <w:jc w:val="center"/>
            </w:pPr>
            <w:r>
              <w:t>2010</w:t>
            </w:r>
          </w:p>
        </w:tc>
        <w:tc>
          <w:tcPr>
            <w:tcW w:w="1915" w:type="dxa"/>
          </w:tcPr>
          <w:p w:rsidR="00534911" w:rsidRDefault="00534911" w:rsidP="008E588B">
            <w:pPr>
              <w:jc w:val="center"/>
            </w:pPr>
            <w:r w:rsidRPr="00534911">
              <w:t>-1.211227</w:t>
            </w:r>
            <w:r>
              <w:t>***</w:t>
            </w:r>
          </w:p>
          <w:p w:rsidR="008E588B" w:rsidRPr="008E588B" w:rsidRDefault="00534911" w:rsidP="008E588B">
            <w:pPr>
              <w:jc w:val="center"/>
            </w:pPr>
            <w:r>
              <w:t>(0</w:t>
            </w:r>
            <w:r w:rsidRPr="00534911">
              <w:t>.2406893</w:t>
            </w:r>
            <w:r>
              <w:t>)</w:t>
            </w:r>
          </w:p>
        </w:tc>
        <w:tc>
          <w:tcPr>
            <w:tcW w:w="1915" w:type="dxa"/>
          </w:tcPr>
          <w:p w:rsidR="00E877B6" w:rsidRDefault="00E877B6" w:rsidP="008E588B">
            <w:pPr>
              <w:jc w:val="center"/>
            </w:pPr>
            <w:r w:rsidRPr="00E877B6">
              <w:t>1.640027</w:t>
            </w:r>
            <w:r>
              <w:t>***</w:t>
            </w:r>
          </w:p>
          <w:p w:rsidR="008E588B" w:rsidRPr="008E588B" w:rsidRDefault="00E877B6" w:rsidP="008E588B">
            <w:pPr>
              <w:jc w:val="center"/>
            </w:pPr>
            <w:r>
              <w:t>(0</w:t>
            </w:r>
            <w:r w:rsidRPr="00E877B6">
              <w:t>.1826976</w:t>
            </w:r>
            <w:r>
              <w:t>)</w:t>
            </w:r>
          </w:p>
        </w:tc>
        <w:tc>
          <w:tcPr>
            <w:tcW w:w="1915" w:type="dxa"/>
          </w:tcPr>
          <w:p w:rsidR="008E588B" w:rsidRPr="008E588B" w:rsidRDefault="00E877B6" w:rsidP="008E588B">
            <w:pPr>
              <w:jc w:val="center"/>
            </w:pPr>
            <w:r>
              <w:t>Armenia</w:t>
            </w:r>
          </w:p>
        </w:tc>
        <w:tc>
          <w:tcPr>
            <w:tcW w:w="1916" w:type="dxa"/>
          </w:tcPr>
          <w:p w:rsidR="00E877B6" w:rsidRDefault="00E877B6" w:rsidP="008E588B">
            <w:pPr>
              <w:jc w:val="center"/>
            </w:pPr>
            <w:r w:rsidRPr="00E877B6">
              <w:t>-1.213122</w:t>
            </w:r>
            <w:r>
              <w:t>***</w:t>
            </w:r>
          </w:p>
          <w:p w:rsidR="008E588B" w:rsidRPr="008E588B" w:rsidRDefault="00E877B6" w:rsidP="008E588B">
            <w:pPr>
              <w:jc w:val="center"/>
            </w:pPr>
            <w:r>
              <w:t>(0</w:t>
            </w:r>
            <w:r w:rsidRPr="00E877B6">
              <w:t>.1353747</w:t>
            </w:r>
            <w:r>
              <w:t>)</w:t>
            </w:r>
          </w:p>
        </w:tc>
      </w:tr>
      <w:tr w:rsidR="00E877B6" w:rsidTr="008E588B">
        <w:tc>
          <w:tcPr>
            <w:tcW w:w="1915" w:type="dxa"/>
          </w:tcPr>
          <w:p w:rsidR="008E588B" w:rsidRPr="008E588B" w:rsidRDefault="008E588B" w:rsidP="008E588B">
            <w:pPr>
              <w:jc w:val="center"/>
            </w:pPr>
            <w:r>
              <w:t>2011</w:t>
            </w:r>
          </w:p>
        </w:tc>
        <w:tc>
          <w:tcPr>
            <w:tcW w:w="1915" w:type="dxa"/>
          </w:tcPr>
          <w:p w:rsidR="00534911" w:rsidRDefault="00534911" w:rsidP="00534911">
            <w:pPr>
              <w:jc w:val="center"/>
            </w:pPr>
            <w:r w:rsidRPr="00534911">
              <w:t>-1.26184</w:t>
            </w:r>
            <w:r>
              <w:t>***</w:t>
            </w:r>
          </w:p>
          <w:p w:rsidR="008E588B" w:rsidRPr="008E588B" w:rsidRDefault="00534911" w:rsidP="00534911">
            <w:pPr>
              <w:jc w:val="center"/>
            </w:pPr>
            <w:r>
              <w:t>(0</w:t>
            </w:r>
            <w:r w:rsidRPr="00534911">
              <w:t>.2483667</w:t>
            </w:r>
            <w:r>
              <w:t>)</w:t>
            </w:r>
          </w:p>
        </w:tc>
        <w:tc>
          <w:tcPr>
            <w:tcW w:w="1915" w:type="dxa"/>
          </w:tcPr>
          <w:p w:rsidR="00E877B6" w:rsidRDefault="00E877B6" w:rsidP="00E877B6">
            <w:pPr>
              <w:jc w:val="center"/>
            </w:pPr>
            <w:r>
              <w:t>1.958544***</w:t>
            </w:r>
          </w:p>
          <w:p w:rsidR="008E588B" w:rsidRPr="008E588B" w:rsidRDefault="00E877B6" w:rsidP="00E877B6">
            <w:pPr>
              <w:jc w:val="center"/>
            </w:pPr>
            <w:r>
              <w:t>(0</w:t>
            </w:r>
            <w:r w:rsidRPr="00E877B6">
              <w:t>.1826976</w:t>
            </w:r>
            <w:r>
              <w:t>)</w:t>
            </w:r>
          </w:p>
        </w:tc>
        <w:tc>
          <w:tcPr>
            <w:tcW w:w="1915" w:type="dxa"/>
          </w:tcPr>
          <w:p w:rsidR="008E588B" w:rsidRPr="008E588B" w:rsidRDefault="00E877B6" w:rsidP="008E588B">
            <w:pPr>
              <w:jc w:val="center"/>
            </w:pPr>
            <w:r>
              <w:t>Tajikistan</w:t>
            </w:r>
          </w:p>
        </w:tc>
        <w:tc>
          <w:tcPr>
            <w:tcW w:w="1916" w:type="dxa"/>
          </w:tcPr>
          <w:p w:rsidR="00E877B6" w:rsidRDefault="00E877B6" w:rsidP="008E588B">
            <w:pPr>
              <w:jc w:val="center"/>
            </w:pPr>
            <w:r w:rsidRPr="00E877B6">
              <w:t>-</w:t>
            </w:r>
            <w:r>
              <w:t>0</w:t>
            </w:r>
            <w:r w:rsidRPr="00E877B6">
              <w:t>.4372489</w:t>
            </w:r>
            <w:r>
              <w:t>***</w:t>
            </w:r>
          </w:p>
          <w:p w:rsidR="008E588B" w:rsidRPr="008E588B" w:rsidRDefault="00E877B6" w:rsidP="008E588B">
            <w:pPr>
              <w:jc w:val="center"/>
            </w:pPr>
            <w:r w:rsidRPr="00E877B6">
              <w:t xml:space="preserve">   </w:t>
            </w:r>
            <w:r>
              <w:t>(0</w:t>
            </w:r>
            <w:r w:rsidRPr="00E877B6">
              <w:t>.1266215</w:t>
            </w:r>
            <w:r>
              <w:t>)</w:t>
            </w:r>
          </w:p>
        </w:tc>
      </w:tr>
      <w:tr w:rsidR="00E877B6" w:rsidTr="008E588B">
        <w:tc>
          <w:tcPr>
            <w:tcW w:w="1915" w:type="dxa"/>
          </w:tcPr>
          <w:p w:rsidR="008E588B" w:rsidRPr="008E588B" w:rsidRDefault="008E588B" w:rsidP="008E588B">
            <w:pPr>
              <w:jc w:val="center"/>
            </w:pPr>
            <w:r>
              <w:t>2012</w:t>
            </w:r>
          </w:p>
        </w:tc>
        <w:tc>
          <w:tcPr>
            <w:tcW w:w="1915" w:type="dxa"/>
          </w:tcPr>
          <w:p w:rsidR="00534911" w:rsidRDefault="00534911" w:rsidP="008E588B">
            <w:pPr>
              <w:jc w:val="center"/>
            </w:pPr>
            <w:r w:rsidRPr="00534911">
              <w:t>-1.429944</w:t>
            </w:r>
            <w:r>
              <w:t>***</w:t>
            </w:r>
          </w:p>
          <w:p w:rsidR="008E588B" w:rsidRPr="008E588B" w:rsidRDefault="00534911" w:rsidP="008E588B">
            <w:pPr>
              <w:jc w:val="center"/>
            </w:pPr>
            <w:r>
              <w:t>(0</w:t>
            </w:r>
            <w:r w:rsidRPr="00534911">
              <w:t>.2516024</w:t>
            </w:r>
            <w:r>
              <w:t>)</w:t>
            </w:r>
          </w:p>
        </w:tc>
        <w:tc>
          <w:tcPr>
            <w:tcW w:w="1915" w:type="dxa"/>
          </w:tcPr>
          <w:p w:rsidR="00E877B6" w:rsidRDefault="00E877B6" w:rsidP="00E877B6">
            <w:pPr>
              <w:jc w:val="center"/>
            </w:pPr>
            <w:r w:rsidRPr="00E877B6">
              <w:t>1.945321</w:t>
            </w:r>
            <w:r>
              <w:t>***</w:t>
            </w:r>
          </w:p>
          <w:p w:rsidR="008E588B" w:rsidRPr="008E588B" w:rsidRDefault="00E877B6" w:rsidP="00E877B6">
            <w:pPr>
              <w:jc w:val="center"/>
            </w:pPr>
            <w:r>
              <w:t>(0</w:t>
            </w:r>
            <w:r w:rsidRPr="00E877B6">
              <w:t>.1826976</w:t>
            </w:r>
            <w:r>
              <w:t>)</w:t>
            </w:r>
          </w:p>
        </w:tc>
        <w:tc>
          <w:tcPr>
            <w:tcW w:w="1915" w:type="dxa"/>
          </w:tcPr>
          <w:p w:rsidR="008E588B" w:rsidRPr="008E588B" w:rsidRDefault="002614D8" w:rsidP="008E588B">
            <w:pPr>
              <w:jc w:val="center"/>
            </w:pPr>
            <w:r>
              <w:t>Moldova</w:t>
            </w:r>
          </w:p>
        </w:tc>
        <w:tc>
          <w:tcPr>
            <w:tcW w:w="1916" w:type="dxa"/>
          </w:tcPr>
          <w:p w:rsidR="002614D8" w:rsidRDefault="002614D8" w:rsidP="008E588B">
            <w:pPr>
              <w:jc w:val="center"/>
            </w:pPr>
            <w:r w:rsidRPr="002614D8">
              <w:t>-</w:t>
            </w:r>
            <w:r>
              <w:t>0</w:t>
            </w:r>
            <w:r w:rsidRPr="002614D8">
              <w:t>.3812386</w:t>
            </w:r>
            <w:r>
              <w:t>***</w:t>
            </w:r>
          </w:p>
          <w:p w:rsidR="008E588B" w:rsidRPr="008E588B" w:rsidRDefault="002614D8" w:rsidP="008E588B">
            <w:pPr>
              <w:jc w:val="center"/>
            </w:pPr>
            <w:r>
              <w:t>(0</w:t>
            </w:r>
            <w:r w:rsidRPr="002614D8">
              <w:t>.120531</w:t>
            </w:r>
            <w:r>
              <w:t>)</w:t>
            </w:r>
          </w:p>
        </w:tc>
      </w:tr>
      <w:tr w:rsidR="00E877B6" w:rsidTr="008E588B">
        <w:tc>
          <w:tcPr>
            <w:tcW w:w="1915" w:type="dxa"/>
          </w:tcPr>
          <w:p w:rsidR="008E588B" w:rsidRPr="008E588B" w:rsidRDefault="008E588B" w:rsidP="008E588B">
            <w:pPr>
              <w:jc w:val="center"/>
            </w:pPr>
            <w:r>
              <w:t>2013</w:t>
            </w:r>
          </w:p>
        </w:tc>
        <w:tc>
          <w:tcPr>
            <w:tcW w:w="1915" w:type="dxa"/>
          </w:tcPr>
          <w:p w:rsidR="00534911" w:rsidRDefault="00534911" w:rsidP="00534911">
            <w:pPr>
              <w:jc w:val="center"/>
            </w:pPr>
            <w:r w:rsidRPr="00534911">
              <w:t>-1.544192</w:t>
            </w:r>
            <w:r>
              <w:t>***</w:t>
            </w:r>
          </w:p>
          <w:p w:rsidR="008E588B" w:rsidRPr="008E588B" w:rsidRDefault="00534911" w:rsidP="00534911">
            <w:pPr>
              <w:jc w:val="center"/>
            </w:pPr>
            <w:r>
              <w:t>(0</w:t>
            </w:r>
            <w:r w:rsidRPr="00534911">
              <w:t>.2547679</w:t>
            </w:r>
            <w:r>
              <w:t>)</w:t>
            </w:r>
          </w:p>
        </w:tc>
        <w:tc>
          <w:tcPr>
            <w:tcW w:w="1915" w:type="dxa"/>
          </w:tcPr>
          <w:p w:rsidR="00E877B6" w:rsidRDefault="00E877B6" w:rsidP="00E877B6">
            <w:pPr>
              <w:jc w:val="center"/>
            </w:pPr>
            <w:r>
              <w:t>1.980615***</w:t>
            </w:r>
          </w:p>
          <w:p w:rsidR="008E588B" w:rsidRPr="008E588B" w:rsidRDefault="00E877B6" w:rsidP="00E877B6">
            <w:pPr>
              <w:jc w:val="center"/>
            </w:pPr>
            <w:r>
              <w:t>(0</w:t>
            </w:r>
            <w:r w:rsidRPr="00E877B6">
              <w:t>.1826976</w:t>
            </w:r>
            <w:r>
              <w:t>)</w:t>
            </w:r>
          </w:p>
        </w:tc>
        <w:tc>
          <w:tcPr>
            <w:tcW w:w="1915" w:type="dxa"/>
          </w:tcPr>
          <w:p w:rsidR="008E588B" w:rsidRPr="008E588B" w:rsidRDefault="008E588B" w:rsidP="008E588B">
            <w:pPr>
              <w:jc w:val="center"/>
            </w:pPr>
          </w:p>
        </w:tc>
        <w:tc>
          <w:tcPr>
            <w:tcW w:w="1916" w:type="dxa"/>
          </w:tcPr>
          <w:p w:rsidR="008E588B" w:rsidRPr="008E588B" w:rsidRDefault="008E588B" w:rsidP="008E588B">
            <w:pPr>
              <w:jc w:val="center"/>
            </w:pPr>
          </w:p>
        </w:tc>
      </w:tr>
      <w:tr w:rsidR="00E877B6" w:rsidTr="008E588B">
        <w:tc>
          <w:tcPr>
            <w:tcW w:w="1915" w:type="dxa"/>
          </w:tcPr>
          <w:p w:rsidR="008E588B" w:rsidRPr="008E588B" w:rsidRDefault="008E588B" w:rsidP="008E588B">
            <w:pPr>
              <w:jc w:val="center"/>
            </w:pPr>
            <w:r>
              <w:t>2014</w:t>
            </w:r>
          </w:p>
        </w:tc>
        <w:tc>
          <w:tcPr>
            <w:tcW w:w="1915" w:type="dxa"/>
          </w:tcPr>
          <w:p w:rsidR="00534911" w:rsidRDefault="00534911" w:rsidP="008E588B">
            <w:pPr>
              <w:jc w:val="center"/>
            </w:pPr>
            <w:r w:rsidRPr="00534911">
              <w:t>-1.600272</w:t>
            </w:r>
            <w:r>
              <w:t>***</w:t>
            </w:r>
          </w:p>
          <w:p w:rsidR="008E588B" w:rsidRPr="008E588B" w:rsidRDefault="00534911" w:rsidP="008E588B">
            <w:pPr>
              <w:jc w:val="center"/>
            </w:pPr>
            <w:r>
              <w:t>(0</w:t>
            </w:r>
            <w:r w:rsidRPr="00534911">
              <w:t>.253808</w:t>
            </w:r>
            <w:r>
              <w:t>)</w:t>
            </w:r>
          </w:p>
        </w:tc>
        <w:tc>
          <w:tcPr>
            <w:tcW w:w="1915" w:type="dxa"/>
          </w:tcPr>
          <w:p w:rsidR="00E877B6" w:rsidRDefault="00E877B6" w:rsidP="00E877B6">
            <w:pPr>
              <w:jc w:val="center"/>
            </w:pPr>
            <w:r w:rsidRPr="00E877B6">
              <w:t>1.909097</w:t>
            </w:r>
            <w:r>
              <w:t>***</w:t>
            </w:r>
          </w:p>
          <w:p w:rsidR="008E588B" w:rsidRPr="008E588B" w:rsidRDefault="00E877B6" w:rsidP="00E877B6">
            <w:pPr>
              <w:jc w:val="center"/>
            </w:pPr>
            <w:r>
              <w:t>(0</w:t>
            </w:r>
            <w:r w:rsidRPr="00E877B6">
              <w:t>.1826976</w:t>
            </w:r>
            <w:r>
              <w:t>)</w:t>
            </w:r>
          </w:p>
        </w:tc>
        <w:tc>
          <w:tcPr>
            <w:tcW w:w="1915" w:type="dxa"/>
          </w:tcPr>
          <w:p w:rsidR="008E588B" w:rsidRPr="008E588B" w:rsidRDefault="008E588B" w:rsidP="008E588B">
            <w:pPr>
              <w:jc w:val="center"/>
            </w:pPr>
          </w:p>
        </w:tc>
        <w:tc>
          <w:tcPr>
            <w:tcW w:w="1916" w:type="dxa"/>
          </w:tcPr>
          <w:p w:rsidR="008E588B" w:rsidRPr="008E588B" w:rsidRDefault="008E588B" w:rsidP="008E588B">
            <w:pPr>
              <w:jc w:val="center"/>
            </w:pPr>
          </w:p>
        </w:tc>
      </w:tr>
      <w:tr w:rsidR="00E877B6" w:rsidRPr="0043769D" w:rsidTr="008E588B">
        <w:tc>
          <w:tcPr>
            <w:tcW w:w="1915" w:type="dxa"/>
          </w:tcPr>
          <w:p w:rsidR="008E588B" w:rsidRDefault="008E588B" w:rsidP="008E588B">
            <w:pPr>
              <w:jc w:val="center"/>
            </w:pPr>
            <w:r>
              <w:t>2015</w:t>
            </w:r>
          </w:p>
        </w:tc>
        <w:tc>
          <w:tcPr>
            <w:tcW w:w="1915" w:type="dxa"/>
          </w:tcPr>
          <w:p w:rsidR="00534911" w:rsidRDefault="00534911" w:rsidP="00534911">
            <w:pPr>
              <w:jc w:val="center"/>
            </w:pPr>
            <w:r w:rsidRPr="00534911">
              <w:t>-1.557719</w:t>
            </w:r>
            <w:r>
              <w:t>***</w:t>
            </w:r>
          </w:p>
          <w:p w:rsidR="008E588B" w:rsidRPr="008E588B" w:rsidRDefault="00534911" w:rsidP="00534911">
            <w:pPr>
              <w:jc w:val="center"/>
            </w:pPr>
            <w:r>
              <w:t>(0</w:t>
            </w:r>
            <w:r w:rsidRPr="00534911">
              <w:t>.2443963</w:t>
            </w:r>
            <w:r>
              <w:t>)</w:t>
            </w:r>
          </w:p>
        </w:tc>
        <w:tc>
          <w:tcPr>
            <w:tcW w:w="1915" w:type="dxa"/>
          </w:tcPr>
          <w:p w:rsidR="00E877B6" w:rsidRDefault="00E877B6" w:rsidP="008E588B">
            <w:pPr>
              <w:jc w:val="center"/>
            </w:pPr>
            <w:r w:rsidRPr="00E877B6">
              <w:t>1.554833</w:t>
            </w:r>
            <w:r>
              <w:t>***</w:t>
            </w:r>
          </w:p>
          <w:p w:rsidR="008E588B" w:rsidRPr="008E588B" w:rsidRDefault="00E877B6" w:rsidP="008E588B">
            <w:pPr>
              <w:jc w:val="center"/>
            </w:pPr>
            <w:r>
              <w:t>(0</w:t>
            </w:r>
            <w:r w:rsidRPr="00E877B6">
              <w:t>.18272</w:t>
            </w:r>
            <w:r>
              <w:t>)</w:t>
            </w:r>
          </w:p>
        </w:tc>
        <w:tc>
          <w:tcPr>
            <w:tcW w:w="1915" w:type="dxa"/>
          </w:tcPr>
          <w:p w:rsidR="008E588B" w:rsidRPr="008E588B" w:rsidRDefault="008E588B" w:rsidP="008E588B">
            <w:pPr>
              <w:jc w:val="center"/>
            </w:pPr>
          </w:p>
        </w:tc>
        <w:tc>
          <w:tcPr>
            <w:tcW w:w="1916" w:type="dxa"/>
          </w:tcPr>
          <w:p w:rsidR="008E588B" w:rsidRPr="008E588B" w:rsidRDefault="008E588B" w:rsidP="008E588B">
            <w:pPr>
              <w:jc w:val="center"/>
            </w:pPr>
          </w:p>
        </w:tc>
      </w:tr>
    </w:tbl>
    <w:p w:rsidR="008E588B" w:rsidRDefault="008E588B">
      <w:pPr>
        <w:rPr>
          <w:b/>
        </w:rPr>
      </w:pPr>
    </w:p>
    <w:p w:rsidR="00AF7EC5" w:rsidRPr="00206042" w:rsidRDefault="00AF7EC5">
      <w:pPr>
        <w:rPr>
          <w:b/>
        </w:rPr>
      </w:pPr>
      <w:r w:rsidRPr="00AF7EC5">
        <w:rPr>
          <w:b/>
        </w:rPr>
        <w:t>Results</w:t>
      </w:r>
    </w:p>
    <w:p w:rsidR="00CC4D1F" w:rsidRPr="00680BF7" w:rsidRDefault="001127F7">
      <w:r>
        <w:t xml:space="preserve">In this survey </w:t>
      </w:r>
      <w:r w:rsidR="00680BF7">
        <w:t xml:space="preserve">trade data provided by </w:t>
      </w:r>
      <w:r w:rsidR="008B5070">
        <w:t xml:space="preserve">the </w:t>
      </w:r>
      <w:r w:rsidR="00680BF7">
        <w:t xml:space="preserve">EEC </w:t>
      </w:r>
      <w:r w:rsidR="006A0F71">
        <w:t xml:space="preserve">was analyzed </w:t>
      </w:r>
      <w:r w:rsidR="00680BF7">
        <w:t>and gravity model</w:t>
      </w:r>
      <w:r w:rsidR="006A0F71">
        <w:t xml:space="preserve"> was used</w:t>
      </w:r>
      <w:r w:rsidR="00680BF7">
        <w:t xml:space="preserve"> to assess an impact of EACU and EAEU on trade between its major members – Russia, Belarus and Kazakhstan. </w:t>
      </w:r>
      <w:r>
        <w:t>The result of this</w:t>
      </w:r>
      <w:r w:rsidR="007623FC">
        <w:t xml:space="preserve"> research is</w:t>
      </w:r>
      <w:r>
        <w:t xml:space="preserve"> that there is</w:t>
      </w:r>
      <w:r w:rsidR="003C07FC">
        <w:t xml:space="preserve"> no </w:t>
      </w:r>
      <w:r w:rsidR="007623FC">
        <w:t>substantial influence of the union on overall trade between these three countries. This result is supported by other researchers. In his article</w:t>
      </w:r>
      <w:r w:rsidR="0060717A">
        <w:t xml:space="preserve"> “EAEU without emotions”</w:t>
      </w:r>
      <w:r w:rsidR="007623FC">
        <w:t xml:space="preserve"> the head of</w:t>
      </w:r>
      <w:r w:rsidR="008B5070">
        <w:t xml:space="preserve"> the Center for Integration R</w:t>
      </w:r>
      <w:r w:rsidR="007623FC">
        <w:t>es</w:t>
      </w:r>
      <w:r>
        <w:t>earch</w:t>
      </w:r>
      <w:r w:rsidR="008B5070">
        <w:t xml:space="preserve"> of EADB</w:t>
      </w:r>
      <w:r>
        <w:t xml:space="preserve"> </w:t>
      </w:r>
      <w:proofErr w:type="spellStart"/>
      <w:r>
        <w:t>Evgeny</w:t>
      </w:r>
      <w:proofErr w:type="spellEnd"/>
      <w:r>
        <w:t xml:space="preserve"> </w:t>
      </w:r>
      <w:proofErr w:type="spellStart"/>
      <w:r>
        <w:t>Vinokurov</w:t>
      </w:r>
      <w:proofErr w:type="spellEnd"/>
      <w:r>
        <w:t xml:space="preserve"> wrote</w:t>
      </w:r>
      <w:r w:rsidR="007623FC">
        <w:t>: “Statistics of [EAEU] internal trade value amount … are often used as an argument against it”</w:t>
      </w:r>
      <w:r w:rsidR="0060717A">
        <w:rPr>
          <w:rStyle w:val="a9"/>
        </w:rPr>
        <w:footnoteReference w:id="5"/>
      </w:r>
      <w:r w:rsidR="007623FC">
        <w:t>.</w:t>
      </w:r>
      <w:r w:rsidR="00096F58">
        <w:t xml:space="preserve"> After that he </w:t>
      </w:r>
      <w:r>
        <w:t>did not</w:t>
      </w:r>
      <w:r w:rsidR="00096F58">
        <w:t xml:space="preserve"> disprove th</w:t>
      </w:r>
      <w:r>
        <w:t>at point, which indirectly implies</w:t>
      </w:r>
      <w:r w:rsidR="00096F58">
        <w:t>, that he agree</w:t>
      </w:r>
      <w:r w:rsidR="002D43D4">
        <w:t>s it</w:t>
      </w:r>
      <w:r w:rsidR="00096F58">
        <w:t>.</w:t>
      </w:r>
      <w:r w:rsidR="007623FC">
        <w:t xml:space="preserve"> </w:t>
      </w:r>
      <w:r w:rsidR="0060717A">
        <w:t>Also, some scholars bring examples of rapid g</w:t>
      </w:r>
      <w:bookmarkStart w:id="0" w:name="_GoBack"/>
      <w:r w:rsidR="0060717A">
        <w:t>row</w:t>
      </w:r>
      <w:bookmarkEnd w:id="0"/>
      <w:r w:rsidR="0060717A">
        <w:t>th of trade of some particular goods, but no one state that union caused significant effect on overall amount.</w:t>
      </w:r>
    </w:p>
    <w:p w:rsidR="00A7713C" w:rsidRDefault="00096F58">
      <w:r>
        <w:t xml:space="preserve">This result means that EAEU, despite of huge administrative framework, are comparatively weak institution. Union members proclaimed trade freedom, but in fact, don’t want to open their markets </w:t>
      </w:r>
      <w:r w:rsidR="001127F7">
        <w:t xml:space="preserve">even </w:t>
      </w:r>
      <w:r>
        <w:t>to other union members.</w:t>
      </w:r>
      <w:r w:rsidR="00A7713C">
        <w:t xml:space="preserve"> While tariff barriers have been removed, non-tariff barriers still exist, and their number is huge. EEC </w:t>
      </w:r>
      <w:r w:rsidR="001127F7">
        <w:t>makes a lot of effort to remove it</w:t>
      </w:r>
      <w:r w:rsidR="00A7713C">
        <w:t xml:space="preserve">, but so far hasn’t succeeded. The most important </w:t>
      </w:r>
      <w:r w:rsidR="00EB182B">
        <w:t>non-tariff barriers are presented in “white book” of trade barriers, published by EEU.</w:t>
      </w:r>
    </w:p>
    <w:p w:rsidR="00EB182B" w:rsidRDefault="003C07FC">
      <w:r>
        <w:t>Another problem is the</w:t>
      </w:r>
      <w:r w:rsidR="00EB182B">
        <w:t xml:space="preserve"> member countries economic structure. All of three countries are mostly state-owned economies</w:t>
      </w:r>
      <w:r w:rsidR="00396173">
        <w:t>, in</w:t>
      </w:r>
      <w:r w:rsidR="00EB182B">
        <w:t xml:space="preserve"> </w:t>
      </w:r>
      <w:r w:rsidR="00396173">
        <w:t>every country</w:t>
      </w:r>
      <w:r w:rsidR="00EB182B">
        <w:t xml:space="preserve"> state-owned enterprise produce more than half of GDP. </w:t>
      </w:r>
      <w:r w:rsidR="00396173">
        <w:t>Thi</w:t>
      </w:r>
      <w:r>
        <w:t>s economic structure is far</w:t>
      </w:r>
      <w:r w:rsidR="00396173">
        <w:t xml:space="preserve"> from ideal because it isn’t flexible and don’t react on external changes. This problem of EAEU is mentioned in</w:t>
      </w:r>
      <w:r w:rsidR="007334A0" w:rsidRPr="007334A0">
        <w:t xml:space="preserve"> </w:t>
      </w:r>
      <w:r w:rsidR="007334A0">
        <w:t xml:space="preserve">the “Eurasian economic integration – 2017” report. This is also a reason, why </w:t>
      </w:r>
      <w:r w:rsidR="00A4198A">
        <w:t xml:space="preserve">EAEU failed to create “a competition of jurisdictions” – competition between different </w:t>
      </w:r>
      <w:r w:rsidR="00A4198A">
        <w:lastRenderedPageBreak/>
        <w:t>countries with the goal to attract enterprises</w:t>
      </w:r>
      <w:r w:rsidR="001127F7">
        <w:t xml:space="preserve"> as taxpayers</w:t>
      </w:r>
      <w:r w:rsidR="00A4198A">
        <w:t xml:space="preserve">. </w:t>
      </w:r>
      <w:r w:rsidR="008D22DE">
        <w:t>In his article in “</w:t>
      </w:r>
      <w:proofErr w:type="spellStart"/>
      <w:r w:rsidR="008D22DE">
        <w:t>Vedomosti</w:t>
      </w:r>
      <w:proofErr w:type="spellEnd"/>
      <w:r w:rsidR="008D22DE">
        <w:t xml:space="preserve">” </w:t>
      </w:r>
      <w:proofErr w:type="spellStart"/>
      <w:r w:rsidR="008D22DE">
        <w:t>Eugenii</w:t>
      </w:r>
      <w:proofErr w:type="spellEnd"/>
      <w:r w:rsidR="008D22DE">
        <w:t xml:space="preserve"> </w:t>
      </w:r>
      <w:proofErr w:type="spellStart"/>
      <w:r w:rsidR="008D22DE">
        <w:t>Vinokurov</w:t>
      </w:r>
      <w:proofErr w:type="spellEnd"/>
      <w:r w:rsidR="008D22DE">
        <w:t xml:space="preserve"> also mentioned three reasons. First, major parts of </w:t>
      </w:r>
      <w:proofErr w:type="gramStart"/>
      <w:r w:rsidR="008D22DE">
        <w:t xml:space="preserve">economies </w:t>
      </w:r>
      <w:r w:rsidR="00A4198A">
        <w:t xml:space="preserve"> </w:t>
      </w:r>
      <w:r w:rsidR="008D22DE">
        <w:t>are</w:t>
      </w:r>
      <w:proofErr w:type="gramEnd"/>
      <w:r w:rsidR="008D22DE">
        <w:t xml:space="preserve"> state-owned; second, countries protect their markets by non-tariff measures even again</w:t>
      </w:r>
      <w:r>
        <w:t>st EAEU partners; third, most</w:t>
      </w:r>
      <w:r w:rsidR="008D22DE">
        <w:t xml:space="preserve"> private enterprises works with state-owned enterprises and </w:t>
      </w:r>
      <w:r>
        <w:t>are tied to</w:t>
      </w:r>
      <w:r w:rsidR="008D22DE">
        <w:t xml:space="preserve"> them</w:t>
      </w:r>
      <w:r w:rsidR="00315F6F">
        <w:rPr>
          <w:rStyle w:val="a9"/>
        </w:rPr>
        <w:footnoteReference w:id="6"/>
      </w:r>
      <w:r>
        <w:t>. Of co</w:t>
      </w:r>
      <w:r w:rsidR="008D22DE">
        <w:t>u</w:t>
      </w:r>
      <w:r>
        <w:t>r</w:t>
      </w:r>
      <w:r w:rsidR="008D22DE">
        <w:t xml:space="preserve">se, all of </w:t>
      </w:r>
      <w:r w:rsidR="00315F6F">
        <w:t>these factors</w:t>
      </w:r>
      <w:r w:rsidR="008D22DE">
        <w:t xml:space="preserve"> are negatively </w:t>
      </w:r>
      <w:r w:rsidR="00315F6F">
        <w:t>affect</w:t>
      </w:r>
      <w:r w:rsidR="008D22DE">
        <w:t xml:space="preserve"> trade.</w:t>
      </w:r>
    </w:p>
    <w:p w:rsidR="00A7713C" w:rsidRDefault="00315F6F">
      <w:r>
        <w:t>As a result, t</w:t>
      </w:r>
      <w:r w:rsidR="00096F58">
        <w:t xml:space="preserve">he union didn’t bring any new connection, while old Soviet era ties </w:t>
      </w:r>
      <w:r w:rsidR="003C07FC">
        <w:t>have become</w:t>
      </w:r>
      <w:r w:rsidR="00A7713C">
        <w:t xml:space="preserve"> less and less important. </w:t>
      </w:r>
      <w:r>
        <w:t>Also, since Russia is a dominating economy of the union, its economic crisis influences the whole union (</w:t>
      </w:r>
      <w:r w:rsidR="001127F7">
        <w:t>it can be observed from dynamics of</w:t>
      </w:r>
      <w:r>
        <w:t xml:space="preserve"> internal and external trade of the union</w:t>
      </w:r>
      <w:r w:rsidR="001127F7">
        <w:t>, table 1</w:t>
      </w:r>
      <w:r w:rsidR="003C07FC">
        <w:t xml:space="preserve">). Of course, </w:t>
      </w:r>
      <w:r>
        <w:t xml:space="preserve">other members are searching for another possibilities of development, and don’t want to be further tied with Russia. Thus, until Russia </w:t>
      </w:r>
      <w:r w:rsidR="00BC4372">
        <w:t>changes</w:t>
      </w:r>
      <w:r>
        <w:t xml:space="preserve"> its economic model, EAEU remains </w:t>
      </w:r>
      <w:r w:rsidR="003C07FC">
        <w:t xml:space="preserve">a </w:t>
      </w:r>
      <w:r>
        <w:t xml:space="preserve">comparatively weak institution. </w:t>
      </w:r>
    </w:p>
    <w:p w:rsidR="00B626F6" w:rsidRDefault="00B626F6">
      <w:pPr>
        <w:rPr>
          <w:b/>
        </w:rPr>
      </w:pPr>
      <w:r>
        <w:rPr>
          <w:b/>
        </w:rPr>
        <w:t xml:space="preserve">Appendix A: </w:t>
      </w:r>
      <w:r w:rsidR="003C7B13">
        <w:rPr>
          <w:b/>
        </w:rPr>
        <w:t>Brief l</w:t>
      </w:r>
      <w:r>
        <w:rPr>
          <w:b/>
        </w:rPr>
        <w:t>iterature and sources review</w:t>
      </w:r>
    </w:p>
    <w:p w:rsidR="00B626F6" w:rsidRPr="009D0CE9" w:rsidRDefault="00B626F6">
      <w:r>
        <w:t xml:space="preserve">Eurasian Economic Union is a very popular research topic in Russia and other member countries. But most of the research on this topic </w:t>
      </w:r>
      <w:r w:rsidR="003C32CB">
        <w:t xml:space="preserve">is done from political science point of view, when </w:t>
      </w:r>
      <w:r w:rsidR="00390CFE">
        <w:t>the number of economical researches of this topic a relatively small.</w:t>
      </w:r>
      <w:r w:rsidR="008F13A9" w:rsidRPr="008F13A9">
        <w:t xml:space="preserve"> </w:t>
      </w:r>
    </w:p>
    <w:p w:rsidR="008F13A9" w:rsidRDefault="00390CFE">
      <w:r>
        <w:t>The major source EAEU statistics and analytics is the department of statistics of EEC. The main language of materials is Russian, but some data also provided in English.</w:t>
      </w:r>
      <w:r w:rsidR="008F13A9" w:rsidRPr="008F13A9">
        <w:t xml:space="preserve"> </w:t>
      </w:r>
      <w:r w:rsidR="008F13A9">
        <w:t>Statistics could be found here:</w:t>
      </w:r>
    </w:p>
    <w:p w:rsidR="008F13A9" w:rsidRDefault="00414D51">
      <w:hyperlink r:id="rId11" w:history="1">
        <w:r w:rsidR="008F13A9" w:rsidRPr="00735A07">
          <w:rPr>
            <w:rStyle w:val="aa"/>
          </w:rPr>
          <w:t>http://www.eurasiancommission.org/en/act/integr_i_makroec/dep_stat/union_stat/Pages/default.aspx</w:t>
        </w:r>
      </w:hyperlink>
    </w:p>
    <w:p w:rsidR="00390CFE" w:rsidRDefault="00390CFE">
      <w:r>
        <w:t xml:space="preserve"> </w:t>
      </w:r>
      <w:r w:rsidR="008F13A9">
        <w:t xml:space="preserve">Also, a lot of economic researches on EAEU are done by the EADB Centre for Integration studies. The most of their research are published in Russian, but some works are also translated to English. </w:t>
      </w:r>
      <w:r w:rsidR="004D66B2">
        <w:t>An official web-page of the Centre is:</w:t>
      </w:r>
    </w:p>
    <w:p w:rsidR="004D66B2" w:rsidRDefault="00414D51">
      <w:hyperlink r:id="rId12" w:history="1">
        <w:r w:rsidR="004D66B2" w:rsidRPr="00735A07">
          <w:rPr>
            <w:rStyle w:val="aa"/>
          </w:rPr>
          <w:t>https://eabr.org/en/analytics/integration-research/</w:t>
        </w:r>
      </w:hyperlink>
    </w:p>
    <w:p w:rsidR="00D36CC2" w:rsidRDefault="00D36CC2">
      <w:r>
        <w:t>The gravity model now is a workh</w:t>
      </w:r>
      <w:r w:rsidR="00523DFD">
        <w:t>orse of trade researches. So there are many paper and textbooks uses or teach gravity model. I will mention some of them</w:t>
      </w:r>
      <w:r w:rsidR="00523DFD" w:rsidRPr="00523DFD">
        <w:t xml:space="preserve"> </w:t>
      </w:r>
      <w:r w:rsidR="00523DFD">
        <w:t>(taken from the first paper in the list):</w:t>
      </w:r>
    </w:p>
    <w:p w:rsidR="00523DFD" w:rsidRDefault="00523DFD" w:rsidP="00523DFD">
      <w:pPr>
        <w:pStyle w:val="ab"/>
        <w:numPr>
          <w:ilvl w:val="0"/>
          <w:numId w:val="1"/>
        </w:numPr>
        <w:autoSpaceDE w:val="0"/>
        <w:autoSpaceDN w:val="0"/>
        <w:adjustRightInd w:val="0"/>
        <w:spacing w:after="0" w:line="240" w:lineRule="auto"/>
        <w:rPr>
          <w:rFonts w:cs="Times-Roman"/>
        </w:rPr>
      </w:pPr>
      <w:r w:rsidRPr="00523DFD">
        <w:rPr>
          <w:rFonts w:cs="Times-Roman"/>
        </w:rPr>
        <w:t xml:space="preserve">Ramón Mahía </w:t>
      </w:r>
      <w:r>
        <w:rPr>
          <w:rFonts w:cs="Times-Roman"/>
        </w:rPr>
        <w:t>(</w:t>
      </w:r>
      <w:r w:rsidRPr="00523DFD">
        <w:rPr>
          <w:rFonts w:cs="Times-Roman"/>
        </w:rPr>
        <w:t>2016</w:t>
      </w:r>
      <w:r>
        <w:rPr>
          <w:rFonts w:cs="Times-Roman"/>
        </w:rPr>
        <w:t xml:space="preserve">). </w:t>
      </w:r>
      <w:r w:rsidRPr="00523DFD">
        <w:rPr>
          <w:rFonts w:cs="Times-Roman"/>
          <w:i/>
        </w:rPr>
        <w:t>Gravity equations for international trade model</w:t>
      </w:r>
      <w:r>
        <w:rPr>
          <w:rFonts w:cs="Times-Roman"/>
        </w:rPr>
        <w:t xml:space="preserve"> </w:t>
      </w:r>
    </w:p>
    <w:p w:rsidR="00523DFD" w:rsidRPr="00523DFD" w:rsidRDefault="00523DFD" w:rsidP="00523DFD">
      <w:pPr>
        <w:pStyle w:val="ab"/>
        <w:autoSpaceDE w:val="0"/>
        <w:autoSpaceDN w:val="0"/>
        <w:adjustRightInd w:val="0"/>
        <w:spacing w:after="0" w:line="240" w:lineRule="auto"/>
        <w:rPr>
          <w:rFonts w:cs="Times-Roman"/>
        </w:rPr>
      </w:pPr>
    </w:p>
    <w:p w:rsidR="00523DFD" w:rsidRDefault="00523DFD" w:rsidP="00523DFD">
      <w:pPr>
        <w:pStyle w:val="ab"/>
        <w:numPr>
          <w:ilvl w:val="0"/>
          <w:numId w:val="1"/>
        </w:numPr>
        <w:autoSpaceDE w:val="0"/>
        <w:autoSpaceDN w:val="0"/>
        <w:adjustRightInd w:val="0"/>
        <w:spacing w:after="0" w:line="240" w:lineRule="auto"/>
        <w:rPr>
          <w:rFonts w:cs="Times-Roman"/>
        </w:rPr>
      </w:pPr>
      <w:r>
        <w:rPr>
          <w:rFonts w:cs="Times-Roman"/>
          <w:lang w:val="en-US"/>
        </w:rPr>
        <w:t xml:space="preserve">Head, K. (2003), “Gravity for beginners”, mimeo, University of British Columbia. </w:t>
      </w:r>
      <w:hyperlink r:id="rId13" w:history="1">
        <w:r>
          <w:rPr>
            <w:rStyle w:val="aa"/>
          </w:rPr>
          <w:t>http://vi.unctad.org/tda/background/Introduction%20to%20Gravity%20Models/gravity.pdf</w:t>
        </w:r>
      </w:hyperlink>
    </w:p>
    <w:p w:rsidR="00523DFD" w:rsidRDefault="00523DFD" w:rsidP="00523DFD">
      <w:pPr>
        <w:pStyle w:val="ab"/>
        <w:autoSpaceDE w:val="0"/>
        <w:autoSpaceDN w:val="0"/>
        <w:adjustRightInd w:val="0"/>
        <w:spacing w:after="0" w:line="240" w:lineRule="auto"/>
        <w:rPr>
          <w:rFonts w:cs="System"/>
          <w:bCs/>
        </w:rPr>
      </w:pPr>
    </w:p>
    <w:p w:rsidR="00523DFD" w:rsidRDefault="00523DFD" w:rsidP="00523DFD">
      <w:pPr>
        <w:pStyle w:val="ab"/>
        <w:numPr>
          <w:ilvl w:val="0"/>
          <w:numId w:val="2"/>
        </w:numPr>
        <w:autoSpaceDE w:val="0"/>
        <w:autoSpaceDN w:val="0"/>
        <w:adjustRightInd w:val="0"/>
        <w:spacing w:after="0" w:line="240" w:lineRule="auto"/>
        <w:rPr>
          <w:rStyle w:val="aa"/>
          <w:rFonts w:eastAsia="Times New Roman" w:cs="Times New Roman"/>
          <w:i/>
          <w:color w:val="auto"/>
          <w:u w:val="none"/>
          <w:lang w:val="en-US"/>
        </w:rPr>
      </w:pPr>
      <w:r>
        <w:rPr>
          <w:rFonts w:eastAsia="Times New Roman" w:cs="Times New Roman"/>
          <w:i/>
          <w:lang w:val="en-US"/>
        </w:rPr>
        <w:t xml:space="preserve">Head, K., &amp; Mayer, T. (2013). Gravity equations: Workhorse, toolkit, and cookbook. Handbook of international economics, 4. </w:t>
      </w:r>
      <w:hyperlink r:id="rId14" w:history="1">
        <w:r>
          <w:rPr>
            <w:rStyle w:val="aa"/>
            <w:rFonts w:cs="System"/>
            <w:bCs/>
            <w:lang w:val="en-US"/>
          </w:rPr>
          <w:t>http://strategy.sauder.ubc.ca/head/papers/headmayer_revised.pdf</w:t>
        </w:r>
      </w:hyperlink>
    </w:p>
    <w:p w:rsidR="00523DFD" w:rsidRDefault="00523DFD" w:rsidP="00523DFD">
      <w:pPr>
        <w:autoSpaceDE w:val="0"/>
        <w:autoSpaceDN w:val="0"/>
        <w:adjustRightInd w:val="0"/>
        <w:spacing w:after="0" w:line="240" w:lineRule="auto"/>
        <w:ind w:left="708"/>
        <w:jc w:val="both"/>
        <w:rPr>
          <w:rFonts w:eastAsiaTheme="minorHAnsi" w:cs="System"/>
          <w:bCs/>
        </w:rPr>
      </w:pPr>
      <w:proofErr w:type="gramStart"/>
      <w:r>
        <w:rPr>
          <w:rFonts w:cs="System"/>
          <w:bCs/>
        </w:rPr>
        <w:t>A really complete and in depth work about gravity equations and their use for empirical exercises (almost 70 pages!).</w:t>
      </w:r>
      <w:proofErr w:type="gramEnd"/>
    </w:p>
    <w:p w:rsidR="00523DFD" w:rsidRDefault="00523DFD" w:rsidP="00523DFD">
      <w:pPr>
        <w:pStyle w:val="ab"/>
        <w:autoSpaceDE w:val="0"/>
        <w:autoSpaceDN w:val="0"/>
        <w:adjustRightInd w:val="0"/>
        <w:spacing w:after="0" w:line="240" w:lineRule="auto"/>
        <w:rPr>
          <w:rFonts w:cs="System"/>
          <w:bCs/>
          <w:lang w:val="en-US"/>
        </w:rPr>
      </w:pPr>
    </w:p>
    <w:p w:rsidR="00523DFD" w:rsidRDefault="00523DFD" w:rsidP="00523DFD">
      <w:pPr>
        <w:pStyle w:val="ab"/>
        <w:numPr>
          <w:ilvl w:val="0"/>
          <w:numId w:val="2"/>
        </w:numPr>
        <w:autoSpaceDE w:val="0"/>
        <w:autoSpaceDN w:val="0"/>
        <w:adjustRightInd w:val="0"/>
        <w:spacing w:after="0" w:line="240" w:lineRule="auto"/>
        <w:rPr>
          <w:rFonts w:cs="System"/>
          <w:bCs/>
          <w:i/>
        </w:rPr>
      </w:pPr>
      <w:r>
        <w:rPr>
          <w:rFonts w:cs="System"/>
          <w:bCs/>
          <w:i/>
          <w:lang w:val="en-US"/>
        </w:rPr>
        <w:t xml:space="preserve">Luca </w:t>
      </w:r>
      <w:proofErr w:type="spellStart"/>
      <w:r>
        <w:rPr>
          <w:rFonts w:cs="System"/>
          <w:bCs/>
          <w:i/>
          <w:lang w:val="en-US"/>
        </w:rPr>
        <w:t>Salvatici</w:t>
      </w:r>
      <w:proofErr w:type="spellEnd"/>
      <w:r>
        <w:rPr>
          <w:rFonts w:cs="System"/>
          <w:bCs/>
          <w:i/>
          <w:lang w:val="en-US"/>
        </w:rPr>
        <w:t xml:space="preserve"> (2013). The Gravity Model in International Trade</w:t>
      </w:r>
      <w:r>
        <w:rPr>
          <w:rFonts w:ascii="Arial" w:hAnsi="Arial" w:cs="Arial"/>
          <w:i/>
          <w:sz w:val="40"/>
          <w:szCs w:val="40"/>
          <w:lang w:val="en-US"/>
        </w:rPr>
        <w:t xml:space="preserve"> </w:t>
      </w:r>
      <w:r>
        <w:rPr>
          <w:rFonts w:cs="System"/>
          <w:bCs/>
          <w:i/>
          <w:lang w:val="en-US"/>
        </w:rPr>
        <w:t xml:space="preserve">AGRODEP Technical Note TN -04. </w:t>
      </w:r>
      <w:hyperlink r:id="rId15" w:history="1">
        <w:r>
          <w:rPr>
            <w:rStyle w:val="aa"/>
            <w:rFonts w:cs="System"/>
            <w:bCs/>
            <w:i/>
          </w:rPr>
          <w:t>http://www.agrodep.org/sites/default/files/Technical_notes/AGRODEP-TN-04-2_1.pdf</w:t>
        </w:r>
      </w:hyperlink>
    </w:p>
    <w:p w:rsidR="00523DFD" w:rsidRDefault="00523DFD" w:rsidP="00523DFD">
      <w:pPr>
        <w:pStyle w:val="ab"/>
        <w:autoSpaceDE w:val="0"/>
        <w:autoSpaceDN w:val="0"/>
        <w:adjustRightInd w:val="0"/>
        <w:spacing w:after="0" w:line="240" w:lineRule="auto"/>
        <w:jc w:val="both"/>
        <w:rPr>
          <w:rFonts w:cs="System"/>
          <w:bCs/>
          <w:lang w:val="en-US"/>
        </w:rPr>
      </w:pPr>
      <w:proofErr w:type="gramStart"/>
      <w:r>
        <w:rPr>
          <w:rFonts w:cs="AkzidenzGroteskBE-Light"/>
          <w:lang w:val="en-US"/>
        </w:rPr>
        <w:lastRenderedPageBreak/>
        <w:t>For those seeking for technical details about some of the main on the econometrical side of gravity equations.</w:t>
      </w:r>
      <w:proofErr w:type="gramEnd"/>
    </w:p>
    <w:p w:rsidR="00523DFD" w:rsidRDefault="00523DFD" w:rsidP="00523DFD">
      <w:pPr>
        <w:pStyle w:val="ab"/>
        <w:autoSpaceDE w:val="0"/>
        <w:autoSpaceDN w:val="0"/>
        <w:adjustRightInd w:val="0"/>
        <w:spacing w:after="0" w:line="240" w:lineRule="auto"/>
        <w:rPr>
          <w:rFonts w:cs="System"/>
          <w:bCs/>
          <w:lang w:val="en-US"/>
        </w:rPr>
      </w:pPr>
    </w:p>
    <w:p w:rsidR="00523DFD" w:rsidRDefault="00523DFD" w:rsidP="00523DFD">
      <w:pPr>
        <w:pStyle w:val="ab"/>
        <w:numPr>
          <w:ilvl w:val="0"/>
          <w:numId w:val="2"/>
        </w:numPr>
        <w:autoSpaceDE w:val="0"/>
        <w:autoSpaceDN w:val="0"/>
        <w:adjustRightInd w:val="0"/>
        <w:spacing w:after="0" w:line="240" w:lineRule="auto"/>
        <w:rPr>
          <w:rFonts w:eastAsia="Times New Roman" w:cs="Times New Roman"/>
          <w:i/>
          <w:lang w:val="en-US"/>
        </w:rPr>
      </w:pPr>
      <w:r>
        <w:rPr>
          <w:rFonts w:eastAsia="Times New Roman" w:cs="Times New Roman"/>
          <w:i/>
        </w:rPr>
        <w:t xml:space="preserve">Silva, J. S., &amp; Tenreyro, S. (2006). </w:t>
      </w:r>
      <w:r>
        <w:rPr>
          <w:rFonts w:eastAsia="Times New Roman" w:cs="Times New Roman"/>
          <w:i/>
          <w:lang w:val="en-US"/>
        </w:rPr>
        <w:t xml:space="preserve">The log of gravity. </w:t>
      </w:r>
      <w:r>
        <w:rPr>
          <w:rFonts w:eastAsia="Times New Roman" w:cs="Times New Roman"/>
          <w:i/>
          <w:iCs/>
          <w:lang w:val="en-US"/>
        </w:rPr>
        <w:t>The Review of Economics and statistics</w:t>
      </w:r>
      <w:r>
        <w:rPr>
          <w:rFonts w:eastAsia="Times New Roman" w:cs="Times New Roman"/>
          <w:i/>
          <w:lang w:val="en-US"/>
        </w:rPr>
        <w:t xml:space="preserve">, </w:t>
      </w:r>
      <w:r>
        <w:rPr>
          <w:rFonts w:eastAsia="Times New Roman" w:cs="Times New Roman"/>
          <w:i/>
          <w:iCs/>
          <w:lang w:val="en-US"/>
        </w:rPr>
        <w:t>88</w:t>
      </w:r>
      <w:r>
        <w:rPr>
          <w:rFonts w:eastAsia="Times New Roman" w:cs="Times New Roman"/>
          <w:i/>
          <w:lang w:val="en-US"/>
        </w:rPr>
        <w:t>(4), 641-658.</w:t>
      </w:r>
    </w:p>
    <w:p w:rsidR="00523DFD" w:rsidRDefault="00414D51" w:rsidP="00523DFD">
      <w:pPr>
        <w:pStyle w:val="ab"/>
        <w:spacing w:after="0" w:line="240" w:lineRule="auto"/>
        <w:rPr>
          <w:rStyle w:val="aa"/>
          <w:rFonts w:cs="System"/>
          <w:bCs/>
        </w:rPr>
      </w:pPr>
      <w:hyperlink r:id="rId16" w:history="1">
        <w:r w:rsidR="00523DFD">
          <w:rPr>
            <w:rStyle w:val="aa"/>
            <w:rFonts w:cs="System"/>
            <w:bCs/>
            <w:lang w:val="en-US"/>
          </w:rPr>
          <w:t>http://personal.lse.ac.uk/tenreyro/jensen08k.pdf</w:t>
        </w:r>
      </w:hyperlink>
    </w:p>
    <w:p w:rsidR="00523DFD" w:rsidRDefault="00523DFD" w:rsidP="00523DFD">
      <w:pPr>
        <w:pStyle w:val="ab"/>
        <w:spacing w:after="0" w:line="240" w:lineRule="auto"/>
      </w:pPr>
      <w:r>
        <w:rPr>
          <w:rFonts w:cs="Times-Roman"/>
          <w:lang w:val="en-US"/>
        </w:rPr>
        <w:t>Seminal work on the econometric implications of Jensen’s inequality in the context of gravity equation:</w:t>
      </w:r>
    </w:p>
    <w:p w:rsidR="00523DFD" w:rsidRDefault="00523DFD" w:rsidP="00523DFD">
      <w:pPr>
        <w:pStyle w:val="ab"/>
        <w:autoSpaceDE w:val="0"/>
        <w:autoSpaceDN w:val="0"/>
        <w:adjustRightInd w:val="0"/>
        <w:spacing w:after="0" w:line="240" w:lineRule="auto"/>
        <w:rPr>
          <w:rFonts w:cs="System"/>
          <w:bCs/>
          <w:lang w:val="en-US"/>
        </w:rPr>
      </w:pPr>
      <w:r>
        <w:rPr>
          <w:rFonts w:cs="AkzidenzGroteskBE-Light"/>
          <w:lang w:val="en-US"/>
        </w:rPr>
        <w:t xml:space="preserve"> </w:t>
      </w:r>
    </w:p>
    <w:p w:rsidR="00523DFD" w:rsidRDefault="00523DFD" w:rsidP="00523DFD">
      <w:pPr>
        <w:pStyle w:val="ab"/>
        <w:numPr>
          <w:ilvl w:val="0"/>
          <w:numId w:val="2"/>
        </w:numPr>
        <w:autoSpaceDE w:val="0"/>
        <w:autoSpaceDN w:val="0"/>
        <w:adjustRightInd w:val="0"/>
        <w:spacing w:after="0" w:line="240" w:lineRule="auto"/>
        <w:rPr>
          <w:rFonts w:cs="AkzidenzGroteskBE-Light"/>
          <w:i/>
          <w:lang w:val="en-US"/>
        </w:rPr>
      </w:pPr>
      <w:r>
        <w:rPr>
          <w:rFonts w:cs="AkzidenzGroteskBE-Light"/>
          <w:i/>
          <w:lang w:val="en-US"/>
        </w:rPr>
        <w:t xml:space="preserve">Anderson, J. E. and van </w:t>
      </w:r>
      <w:proofErr w:type="spellStart"/>
      <w:r>
        <w:rPr>
          <w:rFonts w:cs="AkzidenzGroteskBE-Light"/>
          <w:i/>
          <w:lang w:val="en-US"/>
        </w:rPr>
        <w:t>Wincoop</w:t>
      </w:r>
      <w:proofErr w:type="spellEnd"/>
      <w:r>
        <w:rPr>
          <w:rFonts w:cs="AkzidenzGroteskBE-Light"/>
          <w:i/>
          <w:lang w:val="en-US"/>
        </w:rPr>
        <w:t xml:space="preserve">, E. (2003), “Gravity with gravitas: a solution to the border puzzle”, </w:t>
      </w:r>
      <w:r>
        <w:rPr>
          <w:rFonts w:cs="AkzidenzGrotesk-LightItalic"/>
          <w:i/>
          <w:iCs/>
          <w:lang w:val="en-US"/>
        </w:rPr>
        <w:t xml:space="preserve">American Economic Review </w:t>
      </w:r>
      <w:r>
        <w:rPr>
          <w:rFonts w:cs="AkzidenzGroteskBE-Light"/>
          <w:i/>
          <w:lang w:val="en-US"/>
        </w:rPr>
        <w:t>93: 170–92.</w:t>
      </w:r>
    </w:p>
    <w:p w:rsidR="00523DFD" w:rsidRPr="00523DFD" w:rsidRDefault="00523DFD"/>
    <w:sectPr w:rsidR="00523DFD" w:rsidRPr="00523DFD" w:rsidSect="003D7EC9">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D51" w:rsidRDefault="00414D51" w:rsidP="0012506D">
      <w:pPr>
        <w:spacing w:after="0" w:line="240" w:lineRule="auto"/>
      </w:pPr>
      <w:r>
        <w:separator/>
      </w:r>
    </w:p>
  </w:endnote>
  <w:endnote w:type="continuationSeparator" w:id="0">
    <w:p w:rsidR="00414D51" w:rsidRDefault="00414D51" w:rsidP="00125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kzidenzGroteskBE-Light">
    <w:altName w:val="MS Gothic"/>
    <w:panose1 w:val="00000000000000000000"/>
    <w:charset w:val="00"/>
    <w:family w:val="swiss"/>
    <w:notTrueType/>
    <w:pitch w:val="default"/>
    <w:sig w:usb0="00000001" w:usb1="08070000" w:usb2="00000010" w:usb3="00000000" w:csb0="00020001" w:csb1="00000000"/>
  </w:font>
  <w:font w:name="AkzidenzGrotesk-Light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D51" w:rsidRDefault="00414D51" w:rsidP="0012506D">
      <w:pPr>
        <w:spacing w:after="0" w:line="240" w:lineRule="auto"/>
      </w:pPr>
      <w:r>
        <w:separator/>
      </w:r>
    </w:p>
  </w:footnote>
  <w:footnote w:type="continuationSeparator" w:id="0">
    <w:p w:rsidR="00414D51" w:rsidRDefault="00414D51" w:rsidP="0012506D">
      <w:pPr>
        <w:spacing w:after="0" w:line="240" w:lineRule="auto"/>
      </w:pPr>
      <w:r>
        <w:continuationSeparator/>
      </w:r>
    </w:p>
  </w:footnote>
  <w:footnote w:id="1">
    <w:p w:rsidR="003C32CB" w:rsidRDefault="003C32CB">
      <w:pPr>
        <w:pStyle w:val="a7"/>
      </w:pPr>
      <w:r>
        <w:rPr>
          <w:rStyle w:val="a9"/>
        </w:rPr>
        <w:footnoteRef/>
      </w:r>
      <w:r>
        <w:t xml:space="preserve"> Russian oil and gas export to Belarus is a form of subsidy, see Knobel,2015 (Russian)</w:t>
      </w:r>
    </w:p>
  </w:footnote>
  <w:footnote w:id="2">
    <w:p w:rsidR="003C32CB" w:rsidRDefault="003C32CB">
      <w:pPr>
        <w:pStyle w:val="a7"/>
      </w:pPr>
      <w:r>
        <w:rPr>
          <w:rStyle w:val="a9"/>
        </w:rPr>
        <w:footnoteRef/>
      </w:r>
      <w:r>
        <w:t xml:space="preserve"> For an example, take Malaysia and Singapore as A and B. Since those two countries close geographically and have roughly the same size of GDP, the model predicts that trade amounts between Malaysia and any third country and Singapore and any third country will be same. In fact that is much higher for Singapore.</w:t>
      </w:r>
    </w:p>
  </w:footnote>
  <w:footnote w:id="3">
    <w:p w:rsidR="003C32CB" w:rsidRDefault="003C32CB">
      <w:pPr>
        <w:pStyle w:val="a7"/>
      </w:pPr>
      <w:r>
        <w:rPr>
          <w:rStyle w:val="a9"/>
        </w:rPr>
        <w:footnoteRef/>
      </w:r>
      <w:r>
        <w:t xml:space="preserve"> Coefficients for countries dummy variables presented in table 3</w:t>
      </w:r>
    </w:p>
  </w:footnote>
  <w:footnote w:id="4">
    <w:p w:rsidR="003C32CB" w:rsidRDefault="003C32CB">
      <w:pPr>
        <w:pStyle w:val="a7"/>
      </w:pPr>
      <w:r>
        <w:rPr>
          <w:rStyle w:val="a9"/>
        </w:rPr>
        <w:footnoteRef/>
      </w:r>
      <w:r>
        <w:t xml:space="preserve"> Coefficients for years dummy variables presented in table 3</w:t>
      </w:r>
    </w:p>
  </w:footnote>
  <w:footnote w:id="5">
    <w:p w:rsidR="003C32CB" w:rsidRDefault="003C32CB">
      <w:pPr>
        <w:pStyle w:val="a7"/>
      </w:pPr>
      <w:r>
        <w:rPr>
          <w:rStyle w:val="a9"/>
        </w:rPr>
        <w:footnoteRef/>
      </w:r>
      <w:r>
        <w:t xml:space="preserve"> </w:t>
      </w:r>
      <w:proofErr w:type="spellStart"/>
      <w:r>
        <w:t>Evgeny</w:t>
      </w:r>
      <w:proofErr w:type="spellEnd"/>
      <w:r>
        <w:t xml:space="preserve"> </w:t>
      </w:r>
      <w:proofErr w:type="spellStart"/>
      <w:r>
        <w:t>Vinokurov</w:t>
      </w:r>
      <w:proofErr w:type="spellEnd"/>
      <w:r>
        <w:t xml:space="preserve"> , “EAEU without emotions”  Economic Issues 12/2016 (Russian)</w:t>
      </w:r>
    </w:p>
  </w:footnote>
  <w:footnote w:id="6">
    <w:p w:rsidR="003C32CB" w:rsidRDefault="003C32CB">
      <w:pPr>
        <w:pStyle w:val="a7"/>
      </w:pPr>
      <w:r>
        <w:rPr>
          <w:rStyle w:val="a9"/>
        </w:rPr>
        <w:footnoteRef/>
      </w:r>
      <w:r>
        <w:t xml:space="preserve"> “Why competition within EAEU turn out ineffective” </w:t>
      </w:r>
      <w:proofErr w:type="spellStart"/>
      <w:r>
        <w:t>Eugeny</w:t>
      </w:r>
      <w:proofErr w:type="spellEnd"/>
      <w:r>
        <w:t xml:space="preserve"> </w:t>
      </w:r>
      <w:proofErr w:type="spellStart"/>
      <w:r>
        <w:t>Vinokurov</w:t>
      </w:r>
      <w:proofErr w:type="spellEnd"/>
      <w:r>
        <w:t xml:space="preserve">, </w:t>
      </w:r>
      <w:proofErr w:type="spellStart"/>
      <w:r>
        <w:t>Vedomosti</w:t>
      </w:r>
      <w:proofErr w:type="spellEnd"/>
      <w:r>
        <w:t xml:space="preserve"> (Russian) </w:t>
      </w:r>
      <w:r w:rsidRPr="00315F6F">
        <w:t>https://www.vedomosti.ru/economics/blogs/2017/05/22/690856-konkurentsiya-yurisdiktsii-evraziiskom-neeffektivnoi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5957"/>
    <w:multiLevelType w:val="hybridMultilevel"/>
    <w:tmpl w:val="7188E4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5FE92E01"/>
    <w:multiLevelType w:val="hybridMultilevel"/>
    <w:tmpl w:val="247E42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6A9"/>
    <w:rsid w:val="00024F22"/>
    <w:rsid w:val="0009461E"/>
    <w:rsid w:val="00096F58"/>
    <w:rsid w:val="000B5FA5"/>
    <w:rsid w:val="000B75AB"/>
    <w:rsid w:val="000F6DA2"/>
    <w:rsid w:val="001127F7"/>
    <w:rsid w:val="0012506D"/>
    <w:rsid w:val="001558E8"/>
    <w:rsid w:val="001721A4"/>
    <w:rsid w:val="001C54D4"/>
    <w:rsid w:val="00206042"/>
    <w:rsid w:val="00221EDF"/>
    <w:rsid w:val="00223273"/>
    <w:rsid w:val="0024531E"/>
    <w:rsid w:val="002516F1"/>
    <w:rsid w:val="0025297F"/>
    <w:rsid w:val="00257BC5"/>
    <w:rsid w:val="002614D8"/>
    <w:rsid w:val="00265888"/>
    <w:rsid w:val="0029077D"/>
    <w:rsid w:val="00290882"/>
    <w:rsid w:val="002D43D4"/>
    <w:rsid w:val="00301F5C"/>
    <w:rsid w:val="00314BE2"/>
    <w:rsid w:val="00315F6F"/>
    <w:rsid w:val="003223CB"/>
    <w:rsid w:val="00364916"/>
    <w:rsid w:val="00390CFE"/>
    <w:rsid w:val="00396173"/>
    <w:rsid w:val="003C07FC"/>
    <w:rsid w:val="003C32CB"/>
    <w:rsid w:val="003C7B13"/>
    <w:rsid w:val="003D7EC9"/>
    <w:rsid w:val="003F1C40"/>
    <w:rsid w:val="003F6F00"/>
    <w:rsid w:val="00414D51"/>
    <w:rsid w:val="00422809"/>
    <w:rsid w:val="0043769D"/>
    <w:rsid w:val="00446AAA"/>
    <w:rsid w:val="004510AC"/>
    <w:rsid w:val="00467101"/>
    <w:rsid w:val="00485E38"/>
    <w:rsid w:val="004A74AA"/>
    <w:rsid w:val="004B40CD"/>
    <w:rsid w:val="004C1D9C"/>
    <w:rsid w:val="004D1A8A"/>
    <w:rsid w:val="004D217F"/>
    <w:rsid w:val="004D66B2"/>
    <w:rsid w:val="004F4884"/>
    <w:rsid w:val="00523DFD"/>
    <w:rsid w:val="005312A2"/>
    <w:rsid w:val="00531AED"/>
    <w:rsid w:val="00534911"/>
    <w:rsid w:val="00535F0E"/>
    <w:rsid w:val="00537A2A"/>
    <w:rsid w:val="00545DFB"/>
    <w:rsid w:val="00561E08"/>
    <w:rsid w:val="005841E3"/>
    <w:rsid w:val="005B15B0"/>
    <w:rsid w:val="005B169E"/>
    <w:rsid w:val="005B61C1"/>
    <w:rsid w:val="005D21D9"/>
    <w:rsid w:val="005E148D"/>
    <w:rsid w:val="005F1354"/>
    <w:rsid w:val="005F1E9B"/>
    <w:rsid w:val="005F3F34"/>
    <w:rsid w:val="0060717A"/>
    <w:rsid w:val="00626D0C"/>
    <w:rsid w:val="00627396"/>
    <w:rsid w:val="00634FBF"/>
    <w:rsid w:val="006357FA"/>
    <w:rsid w:val="006478AD"/>
    <w:rsid w:val="0066191E"/>
    <w:rsid w:val="006642B6"/>
    <w:rsid w:val="00676CCE"/>
    <w:rsid w:val="00680BF7"/>
    <w:rsid w:val="006A0F71"/>
    <w:rsid w:val="006A4C1A"/>
    <w:rsid w:val="006D3FC5"/>
    <w:rsid w:val="007003C7"/>
    <w:rsid w:val="0072063A"/>
    <w:rsid w:val="007334A0"/>
    <w:rsid w:val="00736BE3"/>
    <w:rsid w:val="007461F0"/>
    <w:rsid w:val="00755A61"/>
    <w:rsid w:val="007623FC"/>
    <w:rsid w:val="007836A9"/>
    <w:rsid w:val="007C4ABD"/>
    <w:rsid w:val="007E34CC"/>
    <w:rsid w:val="007E3BCA"/>
    <w:rsid w:val="00801106"/>
    <w:rsid w:val="0084386E"/>
    <w:rsid w:val="00844D72"/>
    <w:rsid w:val="00851029"/>
    <w:rsid w:val="00877D44"/>
    <w:rsid w:val="008B5070"/>
    <w:rsid w:val="008D22DE"/>
    <w:rsid w:val="008E588B"/>
    <w:rsid w:val="008F13A9"/>
    <w:rsid w:val="008F5328"/>
    <w:rsid w:val="00943844"/>
    <w:rsid w:val="0095447C"/>
    <w:rsid w:val="009652F6"/>
    <w:rsid w:val="009831C9"/>
    <w:rsid w:val="009C6DD2"/>
    <w:rsid w:val="009D0CE9"/>
    <w:rsid w:val="009D3303"/>
    <w:rsid w:val="009F5962"/>
    <w:rsid w:val="00A06B5C"/>
    <w:rsid w:val="00A4198A"/>
    <w:rsid w:val="00A46B5D"/>
    <w:rsid w:val="00A7713C"/>
    <w:rsid w:val="00AB32ED"/>
    <w:rsid w:val="00AC16A8"/>
    <w:rsid w:val="00AE3AA8"/>
    <w:rsid w:val="00AE56FA"/>
    <w:rsid w:val="00AF7EC5"/>
    <w:rsid w:val="00B00E48"/>
    <w:rsid w:val="00B067CE"/>
    <w:rsid w:val="00B34EFB"/>
    <w:rsid w:val="00B359E3"/>
    <w:rsid w:val="00B626F6"/>
    <w:rsid w:val="00B72480"/>
    <w:rsid w:val="00B83022"/>
    <w:rsid w:val="00BA34FB"/>
    <w:rsid w:val="00BA44FF"/>
    <w:rsid w:val="00BB03E1"/>
    <w:rsid w:val="00BC4372"/>
    <w:rsid w:val="00BE16B7"/>
    <w:rsid w:val="00BE6796"/>
    <w:rsid w:val="00BF790F"/>
    <w:rsid w:val="00C112A3"/>
    <w:rsid w:val="00C1178A"/>
    <w:rsid w:val="00C25167"/>
    <w:rsid w:val="00C41B25"/>
    <w:rsid w:val="00C42CC2"/>
    <w:rsid w:val="00C50EA8"/>
    <w:rsid w:val="00C86B6B"/>
    <w:rsid w:val="00C95116"/>
    <w:rsid w:val="00C96E5E"/>
    <w:rsid w:val="00C9755A"/>
    <w:rsid w:val="00C97EDB"/>
    <w:rsid w:val="00CA7640"/>
    <w:rsid w:val="00CB7FD8"/>
    <w:rsid w:val="00CC3A59"/>
    <w:rsid w:val="00CC4D1F"/>
    <w:rsid w:val="00CD3E15"/>
    <w:rsid w:val="00CE6268"/>
    <w:rsid w:val="00D032F0"/>
    <w:rsid w:val="00D22FEC"/>
    <w:rsid w:val="00D36CC2"/>
    <w:rsid w:val="00D464F8"/>
    <w:rsid w:val="00D770B0"/>
    <w:rsid w:val="00DC6ACE"/>
    <w:rsid w:val="00DE3461"/>
    <w:rsid w:val="00DE5117"/>
    <w:rsid w:val="00DF3C41"/>
    <w:rsid w:val="00DF7721"/>
    <w:rsid w:val="00E115B9"/>
    <w:rsid w:val="00E24AAE"/>
    <w:rsid w:val="00E6173E"/>
    <w:rsid w:val="00E80C70"/>
    <w:rsid w:val="00E877B6"/>
    <w:rsid w:val="00EB182B"/>
    <w:rsid w:val="00EC6034"/>
    <w:rsid w:val="00ED3A3D"/>
    <w:rsid w:val="00EF02D8"/>
    <w:rsid w:val="00F06E77"/>
    <w:rsid w:val="00F078FE"/>
    <w:rsid w:val="00F12436"/>
    <w:rsid w:val="00F240A5"/>
    <w:rsid w:val="00F721BE"/>
    <w:rsid w:val="00F84FBF"/>
    <w:rsid w:val="00FA5A6B"/>
    <w:rsid w:val="00FE41D3"/>
    <w:rsid w:val="00FE7A6E"/>
    <w:rsid w:val="00FF1195"/>
    <w:rsid w:val="00FF6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F7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E6268"/>
    <w:rPr>
      <w:color w:val="808080"/>
    </w:rPr>
  </w:style>
  <w:style w:type="paragraph" w:styleId="a5">
    <w:name w:val="Balloon Text"/>
    <w:basedOn w:val="a"/>
    <w:link w:val="a6"/>
    <w:uiPriority w:val="99"/>
    <w:semiHidden/>
    <w:unhideWhenUsed/>
    <w:rsid w:val="00CE626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E6268"/>
    <w:rPr>
      <w:rFonts w:ascii="Tahoma" w:hAnsi="Tahoma" w:cs="Tahoma"/>
      <w:sz w:val="16"/>
      <w:szCs w:val="16"/>
    </w:rPr>
  </w:style>
  <w:style w:type="paragraph" w:styleId="a7">
    <w:name w:val="footnote text"/>
    <w:basedOn w:val="a"/>
    <w:link w:val="a8"/>
    <w:uiPriority w:val="99"/>
    <w:semiHidden/>
    <w:unhideWhenUsed/>
    <w:rsid w:val="0012506D"/>
    <w:pPr>
      <w:spacing w:after="0" w:line="240" w:lineRule="auto"/>
    </w:pPr>
    <w:rPr>
      <w:sz w:val="20"/>
      <w:szCs w:val="20"/>
    </w:rPr>
  </w:style>
  <w:style w:type="character" w:customStyle="1" w:styleId="a8">
    <w:name w:val="Текст сноски Знак"/>
    <w:basedOn w:val="a0"/>
    <w:link w:val="a7"/>
    <w:uiPriority w:val="99"/>
    <w:semiHidden/>
    <w:rsid w:val="0012506D"/>
    <w:rPr>
      <w:sz w:val="20"/>
      <w:szCs w:val="20"/>
    </w:rPr>
  </w:style>
  <w:style w:type="character" w:styleId="a9">
    <w:name w:val="footnote reference"/>
    <w:basedOn w:val="a0"/>
    <w:uiPriority w:val="99"/>
    <w:semiHidden/>
    <w:unhideWhenUsed/>
    <w:rsid w:val="0012506D"/>
    <w:rPr>
      <w:vertAlign w:val="superscript"/>
    </w:rPr>
  </w:style>
  <w:style w:type="character" w:styleId="aa">
    <w:name w:val="Hyperlink"/>
    <w:basedOn w:val="a0"/>
    <w:uiPriority w:val="99"/>
    <w:unhideWhenUsed/>
    <w:rsid w:val="008F13A9"/>
    <w:rPr>
      <w:color w:val="0000FF" w:themeColor="hyperlink"/>
      <w:u w:val="single"/>
    </w:rPr>
  </w:style>
  <w:style w:type="paragraph" w:styleId="ab">
    <w:name w:val="List Paragraph"/>
    <w:basedOn w:val="a"/>
    <w:uiPriority w:val="34"/>
    <w:qFormat/>
    <w:rsid w:val="00523DFD"/>
    <w:pPr>
      <w:ind w:left="720"/>
      <w:contextualSpacing/>
    </w:pPr>
    <w:rPr>
      <w:rFonts w:eastAsiaTheme="minorHAnsi"/>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F7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E6268"/>
    <w:rPr>
      <w:color w:val="808080"/>
    </w:rPr>
  </w:style>
  <w:style w:type="paragraph" w:styleId="a5">
    <w:name w:val="Balloon Text"/>
    <w:basedOn w:val="a"/>
    <w:link w:val="a6"/>
    <w:uiPriority w:val="99"/>
    <w:semiHidden/>
    <w:unhideWhenUsed/>
    <w:rsid w:val="00CE626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E6268"/>
    <w:rPr>
      <w:rFonts w:ascii="Tahoma" w:hAnsi="Tahoma" w:cs="Tahoma"/>
      <w:sz w:val="16"/>
      <w:szCs w:val="16"/>
    </w:rPr>
  </w:style>
  <w:style w:type="paragraph" w:styleId="a7">
    <w:name w:val="footnote text"/>
    <w:basedOn w:val="a"/>
    <w:link w:val="a8"/>
    <w:uiPriority w:val="99"/>
    <w:semiHidden/>
    <w:unhideWhenUsed/>
    <w:rsid w:val="0012506D"/>
    <w:pPr>
      <w:spacing w:after="0" w:line="240" w:lineRule="auto"/>
    </w:pPr>
    <w:rPr>
      <w:sz w:val="20"/>
      <w:szCs w:val="20"/>
    </w:rPr>
  </w:style>
  <w:style w:type="character" w:customStyle="1" w:styleId="a8">
    <w:name w:val="Текст сноски Знак"/>
    <w:basedOn w:val="a0"/>
    <w:link w:val="a7"/>
    <w:uiPriority w:val="99"/>
    <w:semiHidden/>
    <w:rsid w:val="0012506D"/>
    <w:rPr>
      <w:sz w:val="20"/>
      <w:szCs w:val="20"/>
    </w:rPr>
  </w:style>
  <w:style w:type="character" w:styleId="a9">
    <w:name w:val="footnote reference"/>
    <w:basedOn w:val="a0"/>
    <w:uiPriority w:val="99"/>
    <w:semiHidden/>
    <w:unhideWhenUsed/>
    <w:rsid w:val="0012506D"/>
    <w:rPr>
      <w:vertAlign w:val="superscript"/>
    </w:rPr>
  </w:style>
  <w:style w:type="character" w:styleId="aa">
    <w:name w:val="Hyperlink"/>
    <w:basedOn w:val="a0"/>
    <w:uiPriority w:val="99"/>
    <w:unhideWhenUsed/>
    <w:rsid w:val="008F13A9"/>
    <w:rPr>
      <w:color w:val="0000FF" w:themeColor="hyperlink"/>
      <w:u w:val="single"/>
    </w:rPr>
  </w:style>
  <w:style w:type="paragraph" w:styleId="ab">
    <w:name w:val="List Paragraph"/>
    <w:basedOn w:val="a"/>
    <w:uiPriority w:val="34"/>
    <w:qFormat/>
    <w:rsid w:val="00523DFD"/>
    <w:pPr>
      <w:ind w:left="720"/>
      <w:contextualSpacing/>
    </w:pPr>
    <w:rPr>
      <w:rFonts w:eastAsiaTheme="minorHAnsi"/>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18984">
      <w:bodyDiv w:val="1"/>
      <w:marLeft w:val="0"/>
      <w:marRight w:val="0"/>
      <w:marTop w:val="0"/>
      <w:marBottom w:val="0"/>
      <w:divBdr>
        <w:top w:val="none" w:sz="0" w:space="0" w:color="auto"/>
        <w:left w:val="none" w:sz="0" w:space="0" w:color="auto"/>
        <w:bottom w:val="none" w:sz="0" w:space="0" w:color="auto"/>
        <w:right w:val="none" w:sz="0" w:space="0" w:color="auto"/>
      </w:divBdr>
    </w:div>
    <w:div w:id="254747536">
      <w:bodyDiv w:val="1"/>
      <w:marLeft w:val="0"/>
      <w:marRight w:val="0"/>
      <w:marTop w:val="0"/>
      <w:marBottom w:val="0"/>
      <w:divBdr>
        <w:top w:val="none" w:sz="0" w:space="0" w:color="auto"/>
        <w:left w:val="none" w:sz="0" w:space="0" w:color="auto"/>
        <w:bottom w:val="none" w:sz="0" w:space="0" w:color="auto"/>
        <w:right w:val="none" w:sz="0" w:space="0" w:color="auto"/>
      </w:divBdr>
    </w:div>
    <w:div w:id="1447774338">
      <w:bodyDiv w:val="1"/>
      <w:marLeft w:val="0"/>
      <w:marRight w:val="0"/>
      <w:marTop w:val="0"/>
      <w:marBottom w:val="0"/>
      <w:divBdr>
        <w:top w:val="none" w:sz="0" w:space="0" w:color="auto"/>
        <w:left w:val="none" w:sz="0" w:space="0" w:color="auto"/>
        <w:bottom w:val="none" w:sz="0" w:space="0" w:color="auto"/>
        <w:right w:val="none" w:sz="0" w:space="0" w:color="auto"/>
      </w:divBdr>
    </w:div>
    <w:div w:id="193019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i.unctad.org/tda/background/Introduction%20to%20Gravity%20Models/gravity.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abr.org/en/analytics/integration-resear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ersonal.lse.ac.uk/tenreyro/jensen08k.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urasiancommission.org/en/act/integr_i_makroec/dep_stat/union_stat/Pages/default.aspx" TargetMode="External"/><Relationship Id="rId5" Type="http://schemas.openxmlformats.org/officeDocument/2006/relationships/settings" Target="settings.xml"/><Relationship Id="rId15" Type="http://schemas.openxmlformats.org/officeDocument/2006/relationships/hyperlink" Target="http://www.agrodep.org/sites/default/files/Technical_notes/AGRODEP-TN-04-2_1.pdf" TargetMode="Externa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strategy.sauder.ubc.ca/head/papers/headmayer_revised.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seniiM\Desktop\Russia%20and%20OBOR\Data%20by%20EEC\Trade%20data\&#1057;&#1074;&#1086;&#1076;&#1085;&#1072;&#1103;%20&#1090;&#1072;&#1073;&#1083;&#1080;&#1094;&#107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rseniiM\Desktop\Russia%20and%20OBOR\Data%20by%20EEC\Trade%20data\&#1057;&#1074;&#1086;&#1076;&#1085;&#1072;&#1103;%20&#1090;&#1072;&#1073;&#1083;&#1080;&#1094;&#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082066474363974E-2"/>
          <c:y val="0.11412410918122623"/>
          <c:w val="0.51257739947223069"/>
          <c:h val="0.81792999024023538"/>
        </c:manualLayout>
      </c:layout>
      <c:lineChart>
        <c:grouping val="standard"/>
        <c:varyColors val="0"/>
        <c:ser>
          <c:idx val="0"/>
          <c:order val="0"/>
          <c:tx>
            <c:strRef>
              <c:f>Лист1!$C$7</c:f>
              <c:strCache>
                <c:ptCount val="1"/>
                <c:pt idx="0">
                  <c:v>Food and agricultural raw materials (except for textile)</c:v>
                </c:pt>
              </c:strCache>
            </c:strRef>
          </c:tx>
          <c:cat>
            <c:numRef>
              <c:f>Лист1!$D$4:$I$4</c:f>
              <c:numCache>
                <c:formatCode>General</c:formatCode>
                <c:ptCount val="6"/>
                <c:pt idx="0">
                  <c:v>2011</c:v>
                </c:pt>
                <c:pt idx="1">
                  <c:v>2012</c:v>
                </c:pt>
                <c:pt idx="2">
                  <c:v>2013</c:v>
                </c:pt>
                <c:pt idx="3">
                  <c:v>2014</c:v>
                </c:pt>
                <c:pt idx="4">
                  <c:v>2015</c:v>
                </c:pt>
                <c:pt idx="5">
                  <c:v>2016</c:v>
                </c:pt>
              </c:numCache>
            </c:numRef>
          </c:cat>
          <c:val>
            <c:numRef>
              <c:f>Лист1!$D$7:$I$7</c:f>
              <c:numCache>
                <c:formatCode>#,##0.0</c:formatCode>
                <c:ptCount val="6"/>
                <c:pt idx="0">
                  <c:v>9.2524316089360177</c:v>
                </c:pt>
                <c:pt idx="1">
                  <c:v>10.365724424511475</c:v>
                </c:pt>
                <c:pt idx="2">
                  <c:v>12.7433661132218</c:v>
                </c:pt>
                <c:pt idx="3">
                  <c:v>13.728219177783135</c:v>
                </c:pt>
                <c:pt idx="4" formatCode="#,##0.0;;&quot;-&quot;">
                  <c:v>15.469364376409459</c:v>
                </c:pt>
                <c:pt idx="5" formatCode="#,##0.0;;&quot;-&quot;">
                  <c:v>16.097458449688588</c:v>
                </c:pt>
              </c:numCache>
            </c:numRef>
          </c:val>
          <c:smooth val="0"/>
        </c:ser>
        <c:ser>
          <c:idx val="1"/>
          <c:order val="1"/>
          <c:tx>
            <c:strRef>
              <c:f>Лист1!$C$8</c:f>
              <c:strCache>
                <c:ptCount val="1"/>
                <c:pt idx="0">
                  <c:v>Mineral products</c:v>
                </c:pt>
              </c:strCache>
            </c:strRef>
          </c:tx>
          <c:cat>
            <c:numRef>
              <c:f>Лист1!$D$4:$I$4</c:f>
              <c:numCache>
                <c:formatCode>General</c:formatCode>
                <c:ptCount val="6"/>
                <c:pt idx="0">
                  <c:v>2011</c:v>
                </c:pt>
                <c:pt idx="1">
                  <c:v>2012</c:v>
                </c:pt>
                <c:pt idx="2">
                  <c:v>2013</c:v>
                </c:pt>
                <c:pt idx="3">
                  <c:v>2014</c:v>
                </c:pt>
                <c:pt idx="4">
                  <c:v>2015</c:v>
                </c:pt>
                <c:pt idx="5">
                  <c:v>2016</c:v>
                </c:pt>
              </c:numCache>
            </c:numRef>
          </c:cat>
          <c:val>
            <c:numRef>
              <c:f>Лист1!$D$8:$I$8</c:f>
              <c:numCache>
                <c:formatCode>#,##0.0</c:formatCode>
                <c:ptCount val="6"/>
                <c:pt idx="0">
                  <c:v>39.792489892052188</c:v>
                </c:pt>
                <c:pt idx="1">
                  <c:v>37.41507984891912</c:v>
                </c:pt>
                <c:pt idx="2">
                  <c:v>32.860109884167258</c:v>
                </c:pt>
                <c:pt idx="3">
                  <c:v>30.516894886978857</c:v>
                </c:pt>
                <c:pt idx="4" formatCode="#,##0.0;;&quot;-&quot;">
                  <c:v>33.255824673485414</c:v>
                </c:pt>
                <c:pt idx="5" formatCode="#,##0.0;;&quot;-&quot;">
                  <c:v>27.085076272447207</c:v>
                </c:pt>
              </c:numCache>
            </c:numRef>
          </c:val>
          <c:smooth val="0"/>
        </c:ser>
        <c:ser>
          <c:idx val="2"/>
          <c:order val="2"/>
          <c:tx>
            <c:strRef>
              <c:f>Лист1!$C$9</c:f>
              <c:strCache>
                <c:ptCount val="1"/>
                <c:pt idx="0">
                  <c:v>Products of the chemical industry, rubber</c:v>
                </c:pt>
              </c:strCache>
            </c:strRef>
          </c:tx>
          <c:cat>
            <c:numRef>
              <c:f>Лист1!$D$4:$I$4</c:f>
              <c:numCache>
                <c:formatCode>General</c:formatCode>
                <c:ptCount val="6"/>
                <c:pt idx="0">
                  <c:v>2011</c:v>
                </c:pt>
                <c:pt idx="1">
                  <c:v>2012</c:v>
                </c:pt>
                <c:pt idx="2">
                  <c:v>2013</c:v>
                </c:pt>
                <c:pt idx="3">
                  <c:v>2014</c:v>
                </c:pt>
                <c:pt idx="4">
                  <c:v>2015</c:v>
                </c:pt>
                <c:pt idx="5">
                  <c:v>2016</c:v>
                </c:pt>
              </c:numCache>
            </c:numRef>
          </c:cat>
          <c:val>
            <c:numRef>
              <c:f>Лист1!$D$9:$I$9</c:f>
              <c:numCache>
                <c:formatCode>#,##0.0</c:formatCode>
                <c:ptCount val="6"/>
                <c:pt idx="0">
                  <c:v>9.0560967310374156</c:v>
                </c:pt>
                <c:pt idx="1">
                  <c:v>8.9945354666729056</c:v>
                </c:pt>
                <c:pt idx="2">
                  <c:v>9.9315169383362072</c:v>
                </c:pt>
                <c:pt idx="3">
                  <c:v>9.9829509030584305</c:v>
                </c:pt>
                <c:pt idx="4" formatCode="#,##0.0;;&quot;-&quot;">
                  <c:v>11.692726657145894</c:v>
                </c:pt>
                <c:pt idx="5" formatCode="#,##0.0;;&quot;-&quot;">
                  <c:v>12.431892193840401</c:v>
                </c:pt>
              </c:numCache>
            </c:numRef>
          </c:val>
          <c:smooth val="0"/>
        </c:ser>
        <c:ser>
          <c:idx val="3"/>
          <c:order val="3"/>
          <c:tx>
            <c:strRef>
              <c:f>Лист1!$C$10</c:f>
              <c:strCache>
                <c:ptCount val="1"/>
                <c:pt idx="0">
                  <c:v>Tanning raw materials, furs and products from them</c:v>
                </c:pt>
              </c:strCache>
            </c:strRef>
          </c:tx>
          <c:cat>
            <c:numRef>
              <c:f>Лист1!$D$4:$I$4</c:f>
              <c:numCache>
                <c:formatCode>General</c:formatCode>
                <c:ptCount val="6"/>
                <c:pt idx="0">
                  <c:v>2011</c:v>
                </c:pt>
                <c:pt idx="1">
                  <c:v>2012</c:v>
                </c:pt>
                <c:pt idx="2">
                  <c:v>2013</c:v>
                </c:pt>
                <c:pt idx="3">
                  <c:v>2014</c:v>
                </c:pt>
                <c:pt idx="4">
                  <c:v>2015</c:v>
                </c:pt>
                <c:pt idx="5">
                  <c:v>2016</c:v>
                </c:pt>
              </c:numCache>
            </c:numRef>
          </c:cat>
          <c:val>
            <c:numRef>
              <c:f>Лист1!$D$10:$I$10</c:f>
              <c:numCache>
                <c:formatCode>#,##0.0</c:formatCode>
                <c:ptCount val="6"/>
                <c:pt idx="0">
                  <c:v>0.17914261101247281</c:v>
                </c:pt>
                <c:pt idx="1">
                  <c:v>0.29442284733478929</c:v>
                </c:pt>
                <c:pt idx="2">
                  <c:v>0.26153301038169052</c:v>
                </c:pt>
                <c:pt idx="3">
                  <c:v>0.26023514421344202</c:v>
                </c:pt>
                <c:pt idx="4" formatCode="#,##0.0;;&quot;-&quot;">
                  <c:v>0.17855919313776639</c:v>
                </c:pt>
                <c:pt idx="5" formatCode="#,##0.0;;&quot;-&quot;">
                  <c:v>0.23180096551386845</c:v>
                </c:pt>
              </c:numCache>
            </c:numRef>
          </c:val>
          <c:smooth val="0"/>
        </c:ser>
        <c:ser>
          <c:idx val="4"/>
          <c:order val="4"/>
          <c:tx>
            <c:strRef>
              <c:f>Лист1!$C$11</c:f>
              <c:strCache>
                <c:ptCount val="1"/>
                <c:pt idx="0">
                  <c:v>Wood, Pulp &amp; Paper Products</c:v>
                </c:pt>
              </c:strCache>
            </c:strRef>
          </c:tx>
          <c:cat>
            <c:numRef>
              <c:f>Лист1!$D$4:$I$4</c:f>
              <c:numCache>
                <c:formatCode>General</c:formatCode>
                <c:ptCount val="6"/>
                <c:pt idx="0">
                  <c:v>2011</c:v>
                </c:pt>
                <c:pt idx="1">
                  <c:v>2012</c:v>
                </c:pt>
                <c:pt idx="2">
                  <c:v>2013</c:v>
                </c:pt>
                <c:pt idx="3">
                  <c:v>2014</c:v>
                </c:pt>
                <c:pt idx="4">
                  <c:v>2015</c:v>
                </c:pt>
                <c:pt idx="5">
                  <c:v>2016</c:v>
                </c:pt>
              </c:numCache>
            </c:numRef>
          </c:cat>
          <c:val>
            <c:numRef>
              <c:f>Лист1!$D$11:$I$11</c:f>
              <c:numCache>
                <c:formatCode>#,##0.0</c:formatCode>
                <c:ptCount val="6"/>
                <c:pt idx="0">
                  <c:v>2.2319296466753293</c:v>
                </c:pt>
                <c:pt idx="1">
                  <c:v>2.0421848954961579</c:v>
                </c:pt>
                <c:pt idx="2">
                  <c:v>2.1878061906839918</c:v>
                </c:pt>
                <c:pt idx="3">
                  <c:v>2.3826693743369232</c:v>
                </c:pt>
                <c:pt idx="4" formatCode="#,##0.0;;&quot;-&quot;">
                  <c:v>2.4825032938710181</c:v>
                </c:pt>
                <c:pt idx="5" formatCode="#,##0.0;;&quot;-&quot;">
                  <c:v>2.7645320020115229</c:v>
                </c:pt>
              </c:numCache>
            </c:numRef>
          </c:val>
          <c:smooth val="0"/>
        </c:ser>
        <c:ser>
          <c:idx val="5"/>
          <c:order val="5"/>
          <c:tx>
            <c:strRef>
              <c:f>Лист1!$C$12</c:f>
              <c:strCache>
                <c:ptCount val="1"/>
                <c:pt idx="0">
                  <c:v>Textiles and footwear</c:v>
                </c:pt>
              </c:strCache>
            </c:strRef>
          </c:tx>
          <c:cat>
            <c:numRef>
              <c:f>Лист1!$D$4:$I$4</c:f>
              <c:numCache>
                <c:formatCode>General</c:formatCode>
                <c:ptCount val="6"/>
                <c:pt idx="0">
                  <c:v>2011</c:v>
                </c:pt>
                <c:pt idx="1">
                  <c:v>2012</c:v>
                </c:pt>
                <c:pt idx="2">
                  <c:v>2013</c:v>
                </c:pt>
                <c:pt idx="3">
                  <c:v>2014</c:v>
                </c:pt>
                <c:pt idx="4">
                  <c:v>2015</c:v>
                </c:pt>
                <c:pt idx="5">
                  <c:v>2016</c:v>
                </c:pt>
              </c:numCache>
            </c:numRef>
          </c:cat>
          <c:val>
            <c:numRef>
              <c:f>Лист1!$D$12:$I$12</c:f>
              <c:numCache>
                <c:formatCode>#,##0.0</c:formatCode>
                <c:ptCount val="6"/>
                <c:pt idx="0">
                  <c:v>2.8524572397617161</c:v>
                </c:pt>
                <c:pt idx="1">
                  <c:v>3.0120054434248695</c:v>
                </c:pt>
                <c:pt idx="2">
                  <c:v>3.3791663899925903</c:v>
                </c:pt>
                <c:pt idx="3">
                  <c:v>3.5867982497953554</c:v>
                </c:pt>
                <c:pt idx="4" formatCode="#,##0.0;;&quot;-&quot;">
                  <c:v>3.4361573842323612</c:v>
                </c:pt>
                <c:pt idx="5" formatCode="#,##0.0;;&quot;-&quot;">
                  <c:v>4.1795096894506791</c:v>
                </c:pt>
              </c:numCache>
            </c:numRef>
          </c:val>
          <c:smooth val="0"/>
        </c:ser>
        <c:ser>
          <c:idx val="6"/>
          <c:order val="6"/>
          <c:tx>
            <c:strRef>
              <c:f>Лист1!$C$13</c:f>
              <c:strCache>
                <c:ptCount val="1"/>
                <c:pt idx="0">
                  <c:v>Metals and metal products</c:v>
                </c:pt>
              </c:strCache>
            </c:strRef>
          </c:tx>
          <c:cat>
            <c:numRef>
              <c:f>Лист1!$D$4:$I$4</c:f>
              <c:numCache>
                <c:formatCode>General</c:formatCode>
                <c:ptCount val="6"/>
                <c:pt idx="0">
                  <c:v>2011</c:v>
                </c:pt>
                <c:pt idx="1">
                  <c:v>2012</c:v>
                </c:pt>
                <c:pt idx="2">
                  <c:v>2013</c:v>
                </c:pt>
                <c:pt idx="3">
                  <c:v>2014</c:v>
                </c:pt>
                <c:pt idx="4">
                  <c:v>2015</c:v>
                </c:pt>
                <c:pt idx="5">
                  <c:v>2016</c:v>
                </c:pt>
              </c:numCache>
            </c:numRef>
          </c:cat>
          <c:val>
            <c:numRef>
              <c:f>Лист1!$D$13:$I$13</c:f>
              <c:numCache>
                <c:formatCode>#,##0.0</c:formatCode>
                <c:ptCount val="6"/>
                <c:pt idx="0">
                  <c:v>12.492458903322946</c:v>
                </c:pt>
                <c:pt idx="1">
                  <c:v>11.890933529721288</c:v>
                </c:pt>
                <c:pt idx="2">
                  <c:v>12.950462482786904</c:v>
                </c:pt>
                <c:pt idx="3">
                  <c:v>11.745838417867276</c:v>
                </c:pt>
                <c:pt idx="4" formatCode="#,##0.0;;&quot;-&quot;">
                  <c:v>10.725733786096075</c:v>
                </c:pt>
                <c:pt idx="5" formatCode="#,##0.0;;&quot;-&quot;">
                  <c:v>11.345907856724347</c:v>
                </c:pt>
              </c:numCache>
            </c:numRef>
          </c:val>
          <c:smooth val="0"/>
        </c:ser>
        <c:ser>
          <c:idx val="7"/>
          <c:order val="7"/>
          <c:tx>
            <c:strRef>
              <c:f>Лист1!$C$14</c:f>
              <c:strCache>
                <c:ptCount val="1"/>
                <c:pt idx="0">
                  <c:v>Machinery, equipment and vehicles</c:v>
                </c:pt>
              </c:strCache>
            </c:strRef>
          </c:tx>
          <c:dPt>
            <c:idx val="0"/>
            <c:marker>
              <c:symbol val="dot"/>
              <c:size val="7"/>
            </c:marker>
            <c:bubble3D val="0"/>
          </c:dPt>
          <c:cat>
            <c:numRef>
              <c:f>Лист1!$D$4:$I$4</c:f>
              <c:numCache>
                <c:formatCode>General</c:formatCode>
                <c:ptCount val="6"/>
                <c:pt idx="0">
                  <c:v>2011</c:v>
                </c:pt>
                <c:pt idx="1">
                  <c:v>2012</c:v>
                </c:pt>
                <c:pt idx="2">
                  <c:v>2013</c:v>
                </c:pt>
                <c:pt idx="3">
                  <c:v>2014</c:v>
                </c:pt>
                <c:pt idx="4">
                  <c:v>2015</c:v>
                </c:pt>
                <c:pt idx="5">
                  <c:v>2016</c:v>
                </c:pt>
              </c:numCache>
            </c:numRef>
          </c:cat>
          <c:val>
            <c:numRef>
              <c:f>Лист1!$D$14:$I$14</c:f>
              <c:numCache>
                <c:formatCode>#,##0.0</c:formatCode>
                <c:ptCount val="6"/>
                <c:pt idx="0">
                  <c:v>19.98765658046829</c:v>
                </c:pt>
                <c:pt idx="1">
                  <c:v>21.046254032254549</c:v>
                </c:pt>
                <c:pt idx="2">
                  <c:v>20.49982512587296</c:v>
                </c:pt>
                <c:pt idx="3">
                  <c:v>21.860968193446027</c:v>
                </c:pt>
                <c:pt idx="4" formatCode="#,##0.0;;&quot;-&quot;">
                  <c:v>16.614469156987827</c:v>
                </c:pt>
                <c:pt idx="5" formatCode="#,##0.0;;&quot;-&quot;">
                  <c:v>17.544613838827424</c:v>
                </c:pt>
              </c:numCache>
            </c:numRef>
          </c:val>
          <c:smooth val="0"/>
        </c:ser>
        <c:dLbls>
          <c:showLegendKey val="0"/>
          <c:showVal val="0"/>
          <c:showCatName val="0"/>
          <c:showSerName val="0"/>
          <c:showPercent val="0"/>
          <c:showBubbleSize val="0"/>
        </c:dLbls>
        <c:marker val="1"/>
        <c:smooth val="0"/>
        <c:axId val="157057408"/>
        <c:axId val="157058944"/>
      </c:lineChart>
      <c:catAx>
        <c:axId val="157057408"/>
        <c:scaling>
          <c:orientation val="minMax"/>
        </c:scaling>
        <c:delete val="0"/>
        <c:axPos val="b"/>
        <c:numFmt formatCode="General" sourceLinked="1"/>
        <c:majorTickMark val="none"/>
        <c:minorTickMark val="none"/>
        <c:tickLblPos val="nextTo"/>
        <c:crossAx val="157058944"/>
        <c:crosses val="autoZero"/>
        <c:auto val="1"/>
        <c:lblAlgn val="ctr"/>
        <c:lblOffset val="100"/>
        <c:noMultiLvlLbl val="0"/>
      </c:catAx>
      <c:valAx>
        <c:axId val="157058944"/>
        <c:scaling>
          <c:orientation val="minMax"/>
        </c:scaling>
        <c:delete val="0"/>
        <c:axPos val="l"/>
        <c:majorGridlines/>
        <c:title>
          <c:tx>
            <c:rich>
              <a:bodyPr/>
              <a:lstStyle/>
              <a:p>
                <a:pPr>
                  <a:defRPr/>
                </a:pPr>
                <a:r>
                  <a:rPr lang="en-US"/>
                  <a:t>Percent</a:t>
                </a:r>
                <a:endParaRPr lang="ru-RU"/>
              </a:p>
            </c:rich>
          </c:tx>
          <c:layout>
            <c:manualLayout>
              <c:xMode val="edge"/>
              <c:yMode val="edge"/>
              <c:x val="0"/>
              <c:y val="0.43618440273985448"/>
            </c:manualLayout>
          </c:layout>
          <c:overlay val="0"/>
        </c:title>
        <c:numFmt formatCode="#,##0.0" sourceLinked="1"/>
        <c:majorTickMark val="none"/>
        <c:minorTickMark val="none"/>
        <c:tickLblPos val="nextTo"/>
        <c:crossAx val="157057408"/>
        <c:crosses val="autoZero"/>
        <c:crossBetween val="between"/>
      </c:valAx>
    </c:plotArea>
    <c:legend>
      <c:legendPos val="r"/>
      <c:layout>
        <c:manualLayout>
          <c:xMode val="edge"/>
          <c:yMode val="edge"/>
          <c:x val="0.60867689131117841"/>
          <c:y val="0.1569264873343191"/>
          <c:w val="0.38023664571181526"/>
          <c:h val="0.78474388203787204"/>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960629921259836E-2"/>
          <c:y val="7.4548702245552642E-2"/>
          <c:w val="0.87759492563429575"/>
          <c:h val="0.8326195683872849"/>
        </c:manualLayout>
      </c:layout>
      <c:lineChart>
        <c:grouping val="standard"/>
        <c:varyColors val="0"/>
        <c:ser>
          <c:idx val="0"/>
          <c:order val="0"/>
          <c:cat>
            <c:numRef>
              <c:f>Лист1!$D$17:$I$17</c:f>
              <c:numCache>
                <c:formatCode>General</c:formatCode>
                <c:ptCount val="6"/>
                <c:pt idx="0" formatCode="@">
                  <c:v>2011</c:v>
                </c:pt>
                <c:pt idx="1">
                  <c:v>2012</c:v>
                </c:pt>
                <c:pt idx="2">
                  <c:v>2013</c:v>
                </c:pt>
                <c:pt idx="3">
                  <c:v>2014</c:v>
                </c:pt>
                <c:pt idx="4">
                  <c:v>2015</c:v>
                </c:pt>
                <c:pt idx="5">
                  <c:v>2016</c:v>
                </c:pt>
              </c:numCache>
            </c:numRef>
          </c:cat>
          <c:val>
            <c:numRef>
              <c:f>Лист1!$D$18:$I$18</c:f>
              <c:numCache>
                <c:formatCode>0.00%</c:formatCode>
                <c:ptCount val="6"/>
                <c:pt idx="0" formatCode="0%">
                  <c:v>0.12</c:v>
                </c:pt>
                <c:pt idx="1">
                  <c:v>0.127</c:v>
                </c:pt>
                <c:pt idx="2">
                  <c:v>0.121</c:v>
                </c:pt>
                <c:pt idx="3">
                  <c:v>0.11700000000000001</c:v>
                </c:pt>
                <c:pt idx="4">
                  <c:v>0.123</c:v>
                </c:pt>
                <c:pt idx="5">
                  <c:v>0.13109999999999999</c:v>
                </c:pt>
              </c:numCache>
            </c:numRef>
          </c:val>
          <c:smooth val="0"/>
        </c:ser>
        <c:dLbls>
          <c:showLegendKey val="0"/>
          <c:showVal val="0"/>
          <c:showCatName val="0"/>
          <c:showSerName val="0"/>
          <c:showPercent val="0"/>
          <c:showBubbleSize val="0"/>
        </c:dLbls>
        <c:marker val="1"/>
        <c:smooth val="0"/>
        <c:axId val="157140864"/>
        <c:axId val="157142400"/>
      </c:lineChart>
      <c:dateAx>
        <c:axId val="157140864"/>
        <c:scaling>
          <c:orientation val="minMax"/>
        </c:scaling>
        <c:delete val="0"/>
        <c:axPos val="b"/>
        <c:numFmt formatCode="@" sourceLinked="1"/>
        <c:majorTickMark val="out"/>
        <c:minorTickMark val="none"/>
        <c:tickLblPos val="nextTo"/>
        <c:crossAx val="157142400"/>
        <c:crosses val="autoZero"/>
        <c:auto val="0"/>
        <c:lblOffset val="100"/>
        <c:baseTimeUnit val="days"/>
      </c:dateAx>
      <c:valAx>
        <c:axId val="157142400"/>
        <c:scaling>
          <c:orientation val="minMax"/>
          <c:min val="0.11000000000000001"/>
        </c:scaling>
        <c:delete val="0"/>
        <c:axPos val="l"/>
        <c:majorGridlines/>
        <c:numFmt formatCode="0.0%" sourceLinked="0"/>
        <c:majorTickMark val="out"/>
        <c:minorTickMark val="none"/>
        <c:tickLblPos val="nextTo"/>
        <c:crossAx val="15714086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2141C-DF90-468C-98F9-E0D41DA51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3336</TotalTime>
  <Pages>11</Pages>
  <Words>3856</Words>
  <Characters>21981</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Arsenii Mustafin</dc:creator>
  <cp:keywords/>
  <dc:description/>
  <cp:lastModifiedBy>Arsenii Mustafin</cp:lastModifiedBy>
  <cp:revision>33</cp:revision>
  <dcterms:created xsi:type="dcterms:W3CDTF">2017-02-16T14:59:00Z</dcterms:created>
  <dcterms:modified xsi:type="dcterms:W3CDTF">2017-08-12T07:52:00Z</dcterms:modified>
</cp:coreProperties>
</file>