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b/>
          <w:sz w:val="48"/>
        </w:rPr>
        <w:t>Bush Monkeyflower</w:t>
      </w:r>
    </w:p>
    <w:p/>
    <w:p>
      <w:pPr>
        <w:pStyle w:val="Heading2"/>
      </w:pPr>
      <w:r>
        <w:rPr>
          <w:sz w:val="32"/>
        </w:rPr>
        <w:t>W-SAAP-0.25-LB</w:t>
      </w:r>
    </w:p>
    <w:p>
      <w:pPr>
        <w:pStyle w:val="Heading2"/>
      </w:pPr>
      <w:r>
        <w:rPr>
          <w:sz w:val="32"/>
        </w:rPr>
        <w:t>Diplacus aurantiacus</w:t>
      </w:r>
    </w:p>
    <w:p>
      <w:r>
        <w:rPr>
          <w:b/>
          <w:sz w:val="24"/>
        </w:rPr>
        <w:t xml:space="preserve">What Is The? ( Seo Description 100-200 Words): </w:t>
      </w:r>
      <w:r>
        <w:rPr>
          <w:sz w:val="24"/>
        </w:rPr>
        <w:t>Bush Monkeyflower (Diplacus aurantiacus), also called Sticky Monkeyflower, is a vibrant evergreen subshrub native to California’s coastal and foothill regions. It grows 2–4 feet tall and wide, with glossy sticky leaves and a profusion of tubular orange flowers from spring through summer. Nectar-rich blossoms are a favorite of hummingbirds and butterflies. It thrives in full sun near the coast and partial shade inland, preferring well-drained soil and dry conditions once established—overwatering is more harmful than drought. Deer generally avoid Monkeyflower due to its resinous foliage. Use it to add color to rock gardens, dry borders, or slopes.</w:t>
      </w:r>
    </w:p>
    <w:p>
      <w:pPr>
        <w:pStyle w:val="Heading2"/>
      </w:pPr>
      <w:r>
        <w:rPr>
          <w:b/>
          <w:sz w:val="28"/>
        </w:rPr>
        <w:t>Growing Conditions</w:t>
      </w:r>
    </w:p>
    <w:tbl>
      <w:tblPr>
        <w:tblStyle w:val="TableGrid"/>
        <w:tblW w:type="auto" w:w="0"/>
        <w:tblLook w:firstColumn="1" w:firstRow="1" w:lastColumn="0" w:lastRow="0" w:noHBand="0" w:noVBand="1" w:val="04A0"/>
      </w:tblPr>
      <w:tblGrid>
        <w:gridCol w:w="4680"/>
        <w:gridCol w:w="4680"/>
      </w:tblGrid>
      <w:tr>
        <w:tc>
          <w:tcPr>
            <w:tcW w:type="dxa" w:w="4680"/>
          </w:tcPr>
          <w:p>
            <w:r>
              <w:rPr>
                <w:b/>
                <w:sz w:val="22"/>
              </w:rPr>
              <w:t>Sun Requirements (full Sun, Full Sun To Partial Shade, Shade)</w:t>
            </w:r>
          </w:p>
        </w:tc>
        <w:tc>
          <w:tcPr>
            <w:tcW w:type="dxa" w:w="4680"/>
          </w:tcPr>
          <w:p>
            <w:r>
              <w:rPr>
                <w:sz w:val="22"/>
              </w:rPr>
              <w:t>Full Sun to Partial Shade</w:t>
            </w:r>
          </w:p>
        </w:tc>
      </w:tr>
      <w:tr>
        <w:tc>
          <w:tcPr>
            <w:tcW w:type="dxa" w:w="4680"/>
          </w:tcPr>
          <w:p>
            <w:r>
              <w:rPr>
                <w:b/>
                <w:sz w:val="22"/>
              </w:rPr>
              <w:t>Soil Preference</w:t>
            </w:r>
          </w:p>
        </w:tc>
        <w:tc>
          <w:tcPr>
            <w:tcW w:type="dxa" w:w="4680"/>
          </w:tcPr>
          <w:p>
            <w:r>
              <w:rPr>
                <w:sz w:val="22"/>
              </w:rPr>
              <w:t>Well-drained, sandy or rocky soils; tolerates clay on slopes</w:t>
            </w:r>
          </w:p>
        </w:tc>
      </w:tr>
      <w:tr>
        <w:tc>
          <w:tcPr>
            <w:tcW w:type="dxa" w:w="4680"/>
          </w:tcPr>
          <w:p>
            <w:r>
              <w:rPr>
                <w:b/>
                <w:sz w:val="22"/>
              </w:rPr>
              <w:t>Soil Ph</w:t>
            </w:r>
          </w:p>
        </w:tc>
        <w:tc>
          <w:tcPr>
            <w:tcW w:type="dxa" w:w="4680"/>
          </w:tcPr>
          <w:p>
            <w:r>
              <w:rPr>
                <w:sz w:val="22"/>
              </w:rPr>
              <w:t>Neutral to slightly alkaline</w:t>
            </w:r>
          </w:p>
        </w:tc>
      </w:tr>
      <w:tr>
        <w:tc>
          <w:tcPr>
            <w:tcW w:type="dxa" w:w="4680"/>
          </w:tcPr>
          <w:p>
            <w:r>
              <w:rPr>
                <w:b/>
                <w:sz w:val="22"/>
              </w:rPr>
              <w:t>Days To Maturity</w:t>
            </w:r>
          </w:p>
        </w:tc>
        <w:tc>
          <w:tcPr>
            <w:tcW w:type="dxa" w:w="4680"/>
          </w:tcPr>
          <w:p>
            <w:r>
              <w:rPr>
                <w:sz w:val="22"/>
              </w:rPr>
              <w:t>150–180 days (established plants bloom first spring)</w:t>
            </w:r>
          </w:p>
        </w:tc>
      </w:tr>
      <w:tr>
        <w:tc>
          <w:tcPr>
            <w:tcW w:type="dxa" w:w="4680"/>
          </w:tcPr>
          <w:p>
            <w:r>
              <w:rPr>
                <w:b/>
                <w:sz w:val="22"/>
              </w:rPr>
              <w:t>Height When Mature</w:t>
            </w:r>
          </w:p>
        </w:tc>
        <w:tc>
          <w:tcPr>
            <w:tcW w:type="dxa" w:w="4680"/>
          </w:tcPr>
          <w:p>
            <w:r>
              <w:rPr>
                <w:sz w:val="22"/>
              </w:rPr>
              <w:t>2–4 ft</w:t>
            </w:r>
          </w:p>
        </w:tc>
      </w:tr>
      <w:tr>
        <w:tc>
          <w:tcPr>
            <w:tcW w:type="dxa" w:w="4680"/>
          </w:tcPr>
          <w:p>
            <w:r>
              <w:rPr>
                <w:b/>
                <w:sz w:val="22"/>
              </w:rPr>
              <w:t>Seeding Rate</w:t>
            </w:r>
          </w:p>
        </w:tc>
        <w:tc>
          <w:tcPr>
            <w:tcW w:type="dxa" w:w="4680"/>
          </w:tcPr>
          <w:p>
            <w:r>
              <w:rPr>
                <w:sz w:val="22"/>
              </w:rPr>
              <w:t>N/A (usually cuttings or nursery plants)</w:t>
            </w:r>
          </w:p>
        </w:tc>
      </w:tr>
      <w:tr>
        <w:tc>
          <w:tcPr>
            <w:tcW w:type="dxa" w:w="4680"/>
          </w:tcPr>
          <w:p>
            <w:r>
              <w:rPr>
                <w:b/>
                <w:sz w:val="22"/>
              </w:rPr>
              <w:t>Planting Depth</w:t>
            </w:r>
          </w:p>
        </w:tc>
        <w:tc>
          <w:tcPr>
            <w:tcW w:type="dxa" w:w="4680"/>
          </w:tcPr>
          <w:p>
            <w:r>
              <w:rPr>
                <w:sz w:val="22"/>
              </w:rPr>
              <w:t>Surface sow (very fine seed; needs light/smoke cues)</w:t>
            </w:r>
          </w:p>
        </w:tc>
      </w:tr>
    </w:tbl>
    <w:p/>
    <w:p>
      <w:pPr>
        <w:pStyle w:val="Heading3"/>
      </w:pPr>
      <w:r>
        <w:rPr>
          <w:sz w:val="28"/>
        </w:rPr>
        <w:t>Hummingbird Magnet</w:t>
      </w:r>
    </w:p>
    <w:p>
      <w:r>
        <w:rPr>
          <w:sz w:val="22"/>
        </w:rPr>
        <w:t>Bright tubular flowers draw hummingbirds and pollinators.</w:t>
      </w:r>
    </w:p>
    <w:p>
      <w:pPr>
        <w:pStyle w:val="Heading3"/>
      </w:pPr>
      <w:r>
        <w:rPr>
          <w:sz w:val="28"/>
        </w:rPr>
        <w:t>Extended Bloom Season</w:t>
      </w:r>
    </w:p>
    <w:p>
      <w:r>
        <w:rPr>
          <w:sz w:val="22"/>
        </w:rPr>
        <w:t>Blooms spring through summer; sometimes year-round near the coast.</w:t>
      </w:r>
    </w:p>
    <w:p>
      <w:pPr>
        <w:pStyle w:val="Heading3"/>
      </w:pPr>
      <w:r>
        <w:rPr>
          <w:sz w:val="28"/>
        </w:rPr>
        <w:t>Drought Adapted</w:t>
      </w:r>
    </w:p>
    <w:p>
      <w:r>
        <w:rPr>
          <w:sz w:val="22"/>
        </w:rPr>
        <w:t>Minimal summer water once established; dislikes overwatering.</w:t>
      </w:r>
    </w:p>
    <w:p>
      <w:pPr>
        <w:pStyle w:val="Heading3"/>
      </w:pPr>
      <w:r>
        <w:rPr>
          <w:sz w:val="28"/>
        </w:rPr>
        <w:t>Great for Slopes</w:t>
      </w:r>
    </w:p>
    <w:p>
      <w:r>
        <w:rPr>
          <w:sz w:val="22"/>
        </w:rPr>
        <w:t>Stabilizes dry, sunny to lightly shaded slopes.</w:t>
      </w:r>
    </w:p>
    <w:p>
      <w:pPr>
        <w:pStyle w:val="Heading3"/>
      </w:pPr>
      <w:r>
        <w:rPr>
          <w:sz w:val="28"/>
        </w:rPr>
        <w:t>Native Resilience</w:t>
      </w:r>
    </w:p>
    <w:p>
      <w:r>
        <w:rPr>
          <w:sz w:val="22"/>
        </w:rPr>
        <w:t>Pest- and deer-resistant; handles heat and coastal conditions.</w:t>
      </w:r>
    </w:p>
    <w:p>
      <w:pPr>
        <w:pStyle w:val="Heading2"/>
      </w:pPr>
      <w:r>
        <w:rPr>
          <w:b/>
          <w:sz w:val="28"/>
        </w:rPr>
        <w:t>Plant Characteristics</w:t>
      </w:r>
    </w:p>
    <w:tbl>
      <w:tblPr>
        <w:tblStyle w:val="TableGrid"/>
        <w:tblW w:type="auto" w:w="0"/>
        <w:tblLook w:firstColumn="1" w:firstRow="1" w:lastColumn="0" w:lastRow="0" w:noHBand="0" w:noVBand="1" w:val="04A0"/>
      </w:tblPr>
      <w:tblGrid>
        <w:gridCol w:w="4680"/>
        <w:gridCol w:w="4680"/>
      </w:tblGrid>
      <w:tr>
        <w:tc>
          <w:tcPr>
            <w:tcW w:type="dxa" w:w="4680"/>
          </w:tcPr>
          <w:p>
            <w:r>
              <w:rPr>
                <w:b/>
                <w:sz w:val="22"/>
              </w:rPr>
              <w:t>Sun / Shade</w:t>
            </w:r>
          </w:p>
        </w:tc>
        <w:tc>
          <w:tcPr>
            <w:tcW w:type="dxa" w:w="4680"/>
          </w:tcPr>
          <w:p>
            <w:r>
              <w:rPr>
                <w:sz w:val="22"/>
              </w:rPr>
              <w:t>Full Sun to Partial Shade</w:t>
            </w:r>
          </w:p>
        </w:tc>
      </w:tr>
      <w:tr>
        <w:tc>
          <w:tcPr>
            <w:tcW w:type="dxa" w:w="4680"/>
          </w:tcPr>
          <w:p>
            <w:r>
              <w:rPr>
                <w:b/>
                <w:sz w:val="22"/>
              </w:rPr>
              <w:t>Height When Mature</w:t>
            </w:r>
          </w:p>
        </w:tc>
        <w:tc>
          <w:tcPr>
            <w:tcW w:type="dxa" w:w="4680"/>
          </w:tcPr>
          <w:p>
            <w:r>
              <w:rPr>
                <w:sz w:val="22"/>
              </w:rPr>
              <w:t>2–4 ft</w:t>
            </w:r>
          </w:p>
        </w:tc>
      </w:tr>
      <w:tr>
        <w:tc>
          <w:tcPr>
            <w:tcW w:type="dxa" w:w="4680"/>
          </w:tcPr>
          <w:p>
            <w:r>
              <w:rPr>
                <w:b/>
                <w:sz w:val="22"/>
              </w:rPr>
              <w:t>Seeding Rate</w:t>
            </w:r>
          </w:p>
        </w:tc>
        <w:tc>
          <w:tcPr>
            <w:tcW w:type="dxa" w:w="4680"/>
          </w:tcPr>
          <w:p>
            <w:r>
              <w:rPr>
                <w:sz w:val="22"/>
              </w:rPr>
              <w:t>N/A</w:t>
            </w:r>
          </w:p>
        </w:tc>
      </w:tr>
      <w:tr>
        <w:tc>
          <w:tcPr>
            <w:tcW w:type="dxa" w:w="4680"/>
          </w:tcPr>
          <w:p>
            <w:r>
              <w:rPr>
                <w:b/>
                <w:sz w:val="22"/>
              </w:rPr>
              <w:t>Uses</w:t>
            </w:r>
          </w:p>
        </w:tc>
        <w:tc>
          <w:tcPr>
            <w:tcW w:type="dxa" w:w="4680"/>
          </w:tcPr>
          <w:p>
            <w:r>
              <w:rPr>
                <w:sz w:val="22"/>
              </w:rPr>
              <w:t>Hillside stabilization, wildlife gardens, coastal gardens, large containers</w:t>
            </w:r>
          </w:p>
        </w:tc>
      </w:tr>
      <w:tr>
        <w:tc>
          <w:tcPr>
            <w:tcW w:type="dxa" w:w="4680"/>
          </w:tcPr>
          <w:p>
            <w:r>
              <w:rPr>
                <w:b/>
                <w:sz w:val="22"/>
              </w:rPr>
              <w:t>Color</w:t>
            </w:r>
          </w:p>
        </w:tc>
        <w:tc>
          <w:tcPr>
            <w:tcW w:type="dxa" w:w="4680"/>
          </w:tcPr>
          <w:p>
            <w:r>
              <w:rPr>
                <w:sz w:val="22"/>
              </w:rPr>
              <w:t>Orange (some yellow/apricot forms)</w:t>
            </w:r>
          </w:p>
        </w:tc>
      </w:tr>
      <w:tr>
        <w:tc>
          <w:tcPr>
            <w:tcW w:type="dxa" w:w="4680"/>
          </w:tcPr>
          <w:p>
            <w:r>
              <w:rPr>
                <w:b/>
                <w:sz w:val="22"/>
              </w:rPr>
              <w:t>Water</w:t>
            </w:r>
          </w:p>
        </w:tc>
        <w:tc>
          <w:tcPr>
            <w:tcW w:type="dxa" w:w="4680"/>
          </w:tcPr>
          <w:p>
            <w:r>
              <w:rPr>
                <w:sz w:val="22"/>
              </w:rPr>
              <w:t>Low—occasional deep water at most; avoid frequent summer irrigation</w:t>
            </w:r>
          </w:p>
        </w:tc>
      </w:tr>
      <w:tr>
        <w:tc>
          <w:tcPr>
            <w:tcW w:type="dxa" w:w="4680"/>
          </w:tcPr>
          <w:p>
            <w:r>
              <w:rPr>
                <w:b/>
                <w:sz w:val="22"/>
              </w:rPr>
              <w:t>Native / Introduced</w:t>
            </w:r>
          </w:p>
        </w:tc>
        <w:tc>
          <w:tcPr>
            <w:tcW w:type="dxa" w:w="4680"/>
          </w:tcPr>
          <w:p>
            <w:r>
              <w:rPr>
                <w:sz w:val="22"/>
              </w:rPr>
              <w:t>Native to California</w:t>
            </w:r>
          </w:p>
        </w:tc>
      </w:tr>
      <w:tr>
        <w:tc>
          <w:tcPr>
            <w:tcW w:type="dxa" w:w="4680"/>
          </w:tcPr>
          <w:p>
            <w:r>
              <w:rPr>
                <w:b/>
                <w:sz w:val="22"/>
              </w:rPr>
              <w:t>Life Form</w:t>
            </w:r>
          </w:p>
        </w:tc>
        <w:tc>
          <w:tcPr>
            <w:tcW w:type="dxa" w:w="4680"/>
          </w:tcPr>
          <w:p>
            <w:r>
              <w:rPr>
                <w:sz w:val="22"/>
              </w:rPr>
              <w:t>Evergreen shrub (subshrub)</w:t>
            </w:r>
          </w:p>
        </w:tc>
      </w:tr>
    </w:tbl>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