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48"/>
        </w:rPr>
        <w:t>Central Valley Pollinator Mix (Xerces Society)</w:t>
      </w:r>
    </w:p>
    <w:p/>
    <w:p>
      <w:pPr>
        <w:pStyle w:val="Heading2"/>
      </w:pPr>
      <w:r>
        <w:rPr>
          <w:sz w:val="32"/>
        </w:rPr>
        <w:t>WB-XCVP-0.5-LB</w:t>
      </w:r>
    </w:p>
    <w:p>
      <w:pPr>
        <w:pStyle w:val="Heading2"/>
      </w:pPr>
      <w:r>
        <w:rPr>
          <w:sz w:val="32"/>
        </w:rPr>
        <w:t>Yarrow 08%; Elegant clarkia 10%; California poppy 11%; Gumplant 10%; Common sunflower 03%; Baby blue eyes 09%; California phacelia 10%; Tansy phacelia 11%; Alkali sacaton 06%; Purple needlegrass 06%; Vinegarweed 16%</w:t>
      </w:r>
    </w:p>
    <w:p>
      <w:r>
        <w:rPr>
          <w:b/>
          <w:sz w:val="24"/>
        </w:rPr>
        <w:t xml:space="preserve">What Is The? ( Seo Description 100-200 Words): </w:t>
      </w:r>
      <w:r>
        <w:rPr>
          <w:sz w:val="24"/>
        </w:rPr>
        <w:t>The Central Valley Pollinator Mix is a curated blend of native California wildflowers and grasses designed to create a haven for pollinators. Developed with Xerces Society guidance for California’s Central Valley, the mix features a diverse array of blooms that provide nectar and pollen across the seasons. Colorful annuals like California Poppy, Baby Blue Eyes, and Phacelia complement hardy perennials and bunchgrasses such as Yarrow and Purple Needlegrass. Selected to thrive in the Valley’s climate, the mix is drought-tolerant once established and supports native bees, honeybees, butterflies, and other beneficial insects. Deep-rooted grasses contribute to soil health and erosion control—ideal for farms, large gardens, or habitat restoration.</w:t>
      </w:r>
    </w:p>
    <w:p>
      <w:pPr>
        <w:pStyle w:val="Heading2"/>
      </w:pPr>
      <w:r>
        <w:rPr>
          <w:b/>
          <w:sz w:val="28"/>
        </w:rPr>
        <w:t>Growing Conditions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Requirements (full Sun, Full Sun To Partial Shade, Shade)</w:t>
            </w:r>
          </w:p>
        </w:tc>
        <w:tc>
          <w:tcPr>
            <w:tcW w:type="dxa" w:w="4680"/>
          </w:tcPr>
          <w:p>
            <w:r>
              <w:rPr>
                <w:sz w:val="22"/>
              </w:rPr>
              <w:t>Full Sun</w:t>
            </w:r>
          </w:p>
        </w:tc>
      </w:tr>
      <w:tr>
        <w:tc>
          <w:tcPr>
            <w:tcW w:type="dxa" w:w="4680"/>
          </w:tcPr>
          <w:p>
            <w:r>
              <w:rPr>
                <w:b/>
                <w:sz w:val="22"/>
              </w:rPr>
              <w:t>Soil Preference</w:t>
            </w:r>
          </w:p>
        </w:tc>
        <w:tc>
          <w:tcPr>
            <w:tcW w:type="dxa" w:w="4680"/>
          </w:tcPr>
          <w:p>
            <w:r>
              <w:rPr>
                <w:sz w:val="22"/>
              </w:rPr>
              <w:t>Adaptable—loam to clay with good drainage</w:t>
            </w:r>
          </w:p>
        </w:tc>
      </w:tr>
      <w:tr>
        <w:tc>
          <w:tcPr>
            <w:tcW w:type="dxa" w:w="4680"/>
          </w:tcPr>
          <w:p>
            <w:r>
              <w:rPr>
                <w:b/>
                <w:sz w:val="22"/>
              </w:rPr>
              <w:t>Soil Ph</w:t>
            </w:r>
          </w:p>
        </w:tc>
        <w:tc>
          <w:tcPr>
            <w:tcW w:type="dxa" w:w="4680"/>
          </w:tcPr>
          <w:p>
            <w:r>
              <w:rPr>
                <w:sz w:val="22"/>
              </w:rPr>
              <w:t>Approx. 6.0–8.0 (slightly acidic to moderately alkaline)</w:t>
            </w:r>
          </w:p>
        </w:tc>
      </w:tr>
      <w:tr>
        <w:tc>
          <w:tcPr>
            <w:tcW w:type="dxa" w:w="4680"/>
          </w:tcPr>
          <w:p>
            <w:r>
              <w:rPr>
                <w:b/>
                <w:sz w:val="22"/>
              </w:rPr>
              <w:t>Days To Maturity</w:t>
            </w:r>
          </w:p>
        </w:tc>
        <w:tc>
          <w:tcPr>
            <w:tcW w:type="dxa" w:w="4680"/>
          </w:tcPr>
          <w:p>
            <w:r>
              <w:rPr>
                <w:sz w:val="22"/>
              </w:rPr>
              <w:t>Varies by species (annuals 60–90 days; perennials bloom year 2)</w:t>
            </w:r>
          </w:p>
        </w:tc>
      </w:tr>
      <w:tr>
        <w:tc>
          <w:tcPr>
            <w:tcW w:type="dxa" w:w="4680"/>
          </w:tcPr>
          <w:p>
            <w:r>
              <w:rPr>
                <w:b/>
                <w:sz w:val="22"/>
              </w:rPr>
              <w:t>Height When Mature</w:t>
            </w:r>
          </w:p>
        </w:tc>
        <w:tc>
          <w:tcPr>
            <w:tcW w:type="dxa" w:w="4680"/>
          </w:tcPr>
          <w:p>
            <w:r>
              <w:rPr>
                <w:sz w:val="22"/>
              </w:rPr>
              <w:t>Varies: most 1–3 ft; tallest ~5–6 ft</w:t>
            </w:r>
          </w:p>
        </w:tc>
      </w:tr>
      <w:tr>
        <w:tc>
          <w:tcPr>
            <w:tcW w:type="dxa" w:w="4680"/>
          </w:tcPr>
          <w:p>
            <w:r>
              <w:rPr>
                <w:b/>
                <w:sz w:val="22"/>
              </w:rPr>
              <w:t>Seeding Rate</w:t>
            </w:r>
          </w:p>
        </w:tc>
        <w:tc>
          <w:tcPr>
            <w:tcW w:type="dxa" w:w="4680"/>
          </w:tcPr>
          <w:p>
            <w:r>
              <w:rPr>
                <w:sz w:val="22"/>
              </w:rPr>
              <w:t>~8–10 lbs per acre (~0.2 lb per 1,000 sq ft)</w:t>
            </w:r>
          </w:p>
        </w:tc>
      </w:tr>
      <w:tr>
        <w:tc>
          <w:tcPr>
            <w:tcW w:type="dxa" w:w="4680"/>
          </w:tcPr>
          <w:p>
            <w:r>
              <w:rPr>
                <w:b/>
                <w:sz w:val="22"/>
              </w:rPr>
              <w:t>Planting Depth</w:t>
            </w:r>
          </w:p>
        </w:tc>
        <w:tc>
          <w:tcPr>
            <w:tcW w:type="dxa" w:w="4680"/>
          </w:tcPr>
          <w:p>
            <w:r>
              <w:rPr>
                <w:sz w:val="22"/>
              </w:rPr>
              <w:t>Shallow: most seeds ~1/8 inch; tiny seeds surface-sown</w:t>
            </w:r>
          </w:p>
        </w:tc>
      </w:tr>
    </w:tbl>
    <w:p/>
    <w:p>
      <w:pPr>
        <w:pStyle w:val="Heading3"/>
      </w:pPr>
      <w:r>
        <w:rPr>
          <w:sz w:val="28"/>
        </w:rPr>
        <w:t>Pollinator Paradise</w:t>
      </w:r>
    </w:p>
    <w:p>
      <w:r>
        <w:rPr>
          <w:sz w:val="22"/>
        </w:rPr>
        <w:t>Continuous nectar/pollen supply supports bees, butterflies, and more.</w:t>
      </w:r>
    </w:p>
    <w:p>
      <w:pPr>
        <w:pStyle w:val="Heading3"/>
      </w:pPr>
      <w:r>
        <w:rPr>
          <w:sz w:val="28"/>
        </w:rPr>
        <w:t>Native Diversity</w:t>
      </w:r>
    </w:p>
    <w:p>
      <w:r>
        <w:rPr>
          <w:sz w:val="22"/>
        </w:rPr>
        <w:t>Balanced mix of native annuals, perennials, and grasses for resilience.</w:t>
      </w:r>
    </w:p>
    <w:p>
      <w:pPr>
        <w:pStyle w:val="Heading3"/>
      </w:pPr>
      <w:r>
        <w:rPr>
          <w:sz w:val="28"/>
        </w:rPr>
        <w:t>Year-Round Bloom</w:t>
      </w:r>
    </w:p>
    <w:p>
      <w:r>
        <w:rPr>
          <w:sz w:val="22"/>
        </w:rPr>
        <w:t>Successional blooms keep color and pollinator activity for months.</w:t>
      </w:r>
    </w:p>
    <w:p>
      <w:pPr>
        <w:pStyle w:val="Heading3"/>
      </w:pPr>
      <w:r>
        <w:rPr>
          <w:sz w:val="28"/>
        </w:rPr>
        <w:t>Easy &amp; Effective</w:t>
      </w:r>
    </w:p>
    <w:p>
      <w:r>
        <w:rPr>
          <w:sz w:val="22"/>
        </w:rPr>
        <w:t>Field-tested guidance; simple site prep and sowing; self-sustaining with reseed.</w:t>
      </w:r>
    </w:p>
    <w:p>
      <w:pPr>
        <w:pStyle w:val="Heading3"/>
      </w:pPr>
      <w:r>
        <w:rPr>
          <w:sz w:val="28"/>
        </w:rPr>
        <w:t>Environmental Benefits</w:t>
      </w:r>
    </w:p>
    <w:p>
      <w:r>
        <w:rPr>
          <w:sz w:val="22"/>
        </w:rPr>
        <w:t>Deep roots improve soil, retain moisture, and prevent erosion.</w:t>
      </w:r>
    </w:p>
    <w:p>
      <w:pPr>
        <w:pStyle w:val="Heading2"/>
      </w:pPr>
      <w:r>
        <w:rPr>
          <w:b/>
          <w:sz w:val="28"/>
        </w:rPr>
        <w:t>Plant Characteristics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 Shade</w:t>
            </w:r>
          </w:p>
        </w:tc>
        <w:tc>
          <w:tcPr>
            <w:tcW w:type="dxa" w:w="4680"/>
          </w:tcPr>
          <w:p>
            <w:r>
              <w:rPr>
                <w:sz w:val="22"/>
              </w:rPr>
              <w:t>Full Sun</w:t>
            </w:r>
          </w:p>
        </w:tc>
      </w:tr>
      <w:tr>
        <w:tc>
          <w:tcPr>
            <w:tcW w:type="dxa" w:w="4680"/>
          </w:tcPr>
          <w:p>
            <w:r>
              <w:rPr>
                <w:b/>
                <w:sz w:val="22"/>
              </w:rPr>
              <w:t>Height When Mature</w:t>
            </w:r>
          </w:p>
        </w:tc>
        <w:tc>
          <w:tcPr>
            <w:tcW w:type="dxa" w:w="4680"/>
          </w:tcPr>
          <w:p>
            <w:r>
              <w:rPr>
                <w:sz w:val="22"/>
              </w:rPr>
              <w:t>1–3 ft typical; up to ~5–6 ft for tallest species</w:t>
            </w:r>
          </w:p>
        </w:tc>
      </w:tr>
      <w:tr>
        <w:tc>
          <w:tcPr>
            <w:tcW w:type="dxa" w:w="4680"/>
          </w:tcPr>
          <w:p>
            <w:r>
              <w:rPr>
                <w:b/>
                <w:sz w:val="22"/>
              </w:rPr>
              <w:t>Seeding Rate</w:t>
            </w:r>
          </w:p>
        </w:tc>
        <w:tc>
          <w:tcPr>
            <w:tcW w:type="dxa" w:w="4680"/>
          </w:tcPr>
          <w:p>
            <w:r>
              <w:rPr>
                <w:sz w:val="22"/>
              </w:rPr>
              <w:t>~8–10 lbs/acre</w:t>
            </w:r>
          </w:p>
        </w:tc>
      </w:tr>
      <w:tr>
        <w:tc>
          <w:tcPr>
            <w:tcW w:type="dxa" w:w="4680"/>
          </w:tcPr>
          <w:p>
            <w:r>
              <w:rPr>
                <w:b/>
                <w:sz w:val="22"/>
              </w:rPr>
              <w:t>Uses</w:t>
            </w:r>
          </w:p>
        </w:tc>
        <w:tc>
          <w:tcPr>
            <w:tcW w:type="dxa" w:w="4680"/>
          </w:tcPr>
          <w:p>
            <w:r>
              <w:rPr>
                <w:sz w:val="22"/>
              </w:rPr>
              <w:t>Pollinator habitat (farms/orchards), wildflower meadows, restoration areas</w:t>
            </w:r>
          </w:p>
        </w:tc>
      </w:tr>
      <w:tr>
        <w:tc>
          <w:tcPr>
            <w:tcW w:type="dxa" w:w="4680"/>
          </w:tcPr>
          <w:p>
            <w:r>
              <w:rPr>
                <w:b/>
                <w:sz w:val="22"/>
              </w:rPr>
              <w:t>Color</w:t>
            </w:r>
          </w:p>
        </w:tc>
        <w:tc>
          <w:tcPr>
            <w:tcW w:type="dxa" w:w="4680"/>
          </w:tcPr>
          <w:p>
            <w:r>
              <w:rPr>
                <w:sz w:val="22"/>
              </w:rPr>
              <w:t>Mix of golds, oranges, blues, purples, and whites</w:t>
            </w:r>
          </w:p>
        </w:tc>
      </w:tr>
      <w:tr>
        <w:tc>
          <w:tcPr>
            <w:tcW w:type="dxa" w:w="4680"/>
          </w:tcPr>
          <w:p>
            <w:r>
              <w:rPr>
                <w:b/>
                <w:sz w:val="22"/>
              </w:rPr>
              <w:t>Water</w:t>
            </w:r>
          </w:p>
        </w:tc>
        <w:tc>
          <w:tcPr>
            <w:tcW w:type="dxa" w:w="4680"/>
          </w:tcPr>
          <w:p>
            <w:r>
              <w:rPr>
                <w:sz w:val="22"/>
              </w:rPr>
              <w:t>Low to Moderate—rely on winter rains; minimal extra water after establishment</w:t>
            </w:r>
          </w:p>
        </w:tc>
      </w:tr>
      <w:tr>
        <w:tc>
          <w:tcPr>
            <w:tcW w:type="dxa" w:w="4680"/>
          </w:tcPr>
          <w:p>
            <w:r>
              <w:rPr>
                <w:b/>
                <w:sz w:val="22"/>
              </w:rPr>
              <w:t>Native / Introduced</w:t>
            </w:r>
          </w:p>
        </w:tc>
        <w:tc>
          <w:tcPr>
            <w:tcW w:type="dxa" w:w="4680"/>
          </w:tcPr>
          <w:p>
            <w:r>
              <w:rPr>
                <w:sz w:val="22"/>
              </w:rPr>
              <w:t>Native California wildflower and grass species</w:t>
            </w:r>
          </w:p>
        </w:tc>
      </w:tr>
      <w:tr>
        <w:tc>
          <w:tcPr>
            <w:tcW w:type="dxa" w:w="4680"/>
          </w:tcPr>
          <w:p>
            <w:r>
              <w:rPr>
                <w:b/>
                <w:sz w:val="22"/>
              </w:rPr>
              <w:t>Life Form</w:t>
            </w:r>
          </w:p>
        </w:tc>
        <w:tc>
          <w:tcPr>
            <w:tcW w:type="dxa" w:w="4680"/>
          </w:tcPr>
          <w:p>
            <w:r>
              <w:rPr>
                <w:sz w:val="22"/>
              </w:rPr>
              <w:t>Mix of annual/perennial forbs and perennial bunchgrasses</w:t>
            </w:r>
          </w:p>
        </w:tc>
      </w:tr>
    </w:tbl>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