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Miniature Lupine</w:t>
      </w:r>
    </w:p>
    <w:p/>
    <w:p>
      <w:pPr>
        <w:pStyle w:val="Heading2"/>
      </w:pPr>
      <w:r>
        <w:rPr>
          <w:sz w:val="32"/>
        </w:rPr>
        <w:t>W-LUBI-0.25-LB</w:t>
      </w:r>
    </w:p>
    <w:p>
      <w:pPr>
        <w:pStyle w:val="Heading2"/>
      </w:pPr>
      <w:r>
        <w:rPr>
          <w:sz w:val="32"/>
        </w:rPr>
        <w:t>Lupinus bicolor</w:t>
      </w:r>
    </w:p>
    <w:p>
      <w:r>
        <w:rPr>
          <w:b/>
          <w:sz w:val="24"/>
        </w:rPr>
        <w:t xml:space="preserve">What Is The? ( Seo Description 100-200 Words): </w:t>
      </w:r>
      <w:r>
        <w:rPr>
          <w:sz w:val="24"/>
        </w:rPr>
        <w:t>Miniature Lupine (Lupinus bicolor) is a petite California wildflower that packs charm into a small package. Often only 4–6 inches tall, this annual produces delicate spikes of purple-blue and white flowers. It naturalizes easily in open grassy areas and blooms in spring, adding splashes of color to meadows. Adapted to winter rains and dry summers, it completes its life cycle by early summer and reseeds. As a legume, it enriches soil by fixing nitrogen. Ideal for creating a low-growing floral carpet in native meadows or garden edges.</w:t>
      </w:r>
    </w:p>
    <w:p>
      <w:pPr>
        <w:pStyle w:val="Heading2"/>
      </w:pPr>
      <w:r>
        <w:rPr>
          <w:b/>
          <w:sz w:val="28"/>
        </w:rPr>
        <w:t>Growing Conditions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Requirements (full Sun, Full Sun To Partial Shade, Shade)</w:t>
            </w:r>
          </w:p>
        </w:tc>
        <w:tc>
          <w:tcPr>
            <w:tcW w:type="dxa" w:w="4680"/>
          </w:tcPr>
          <w:p>
            <w:r>
              <w:rPr>
                <w:sz w:val="22"/>
              </w:rPr>
              <w:t>Full Sun</w:t>
            </w:r>
          </w:p>
        </w:tc>
      </w:tr>
      <w:tr>
        <w:tc>
          <w:tcPr>
            <w:tcW w:type="dxa" w:w="4680"/>
          </w:tcPr>
          <w:p>
            <w:r>
              <w:rPr>
                <w:b/>
                <w:sz w:val="22"/>
              </w:rPr>
              <w:t>Soil Preference</w:t>
            </w:r>
          </w:p>
        </w:tc>
        <w:tc>
          <w:tcPr>
            <w:tcW w:type="dxa" w:w="4680"/>
          </w:tcPr>
          <w:p>
            <w:r>
              <w:rPr>
                <w:sz w:val="22"/>
              </w:rPr>
              <w:t>Well-drained sandy or loamy soils; tolerates nutrient-poor conditions</w:t>
            </w:r>
          </w:p>
        </w:tc>
      </w:tr>
      <w:tr>
        <w:tc>
          <w:tcPr>
            <w:tcW w:type="dxa" w:w="4680"/>
          </w:tcPr>
          <w:p>
            <w:r>
              <w:rPr>
                <w:b/>
                <w:sz w:val="22"/>
              </w:rPr>
              <w:t>Soil Ph</w:t>
            </w:r>
          </w:p>
        </w:tc>
        <w:tc>
          <w:tcPr>
            <w:tcW w:type="dxa" w:w="4680"/>
          </w:tcPr>
          <w:p>
            <w:r>
              <w:rPr>
                <w:sz w:val="22"/>
              </w:rPr>
              <w:t>Slightly acidic to neutral</w:t>
            </w:r>
          </w:p>
        </w:tc>
      </w:tr>
      <w:tr>
        <w:tc>
          <w:tcPr>
            <w:tcW w:type="dxa" w:w="4680"/>
          </w:tcPr>
          <w:p>
            <w:r>
              <w:rPr>
                <w:b/>
                <w:sz w:val="22"/>
              </w:rPr>
              <w:t>Days To Maturity</w:t>
            </w:r>
          </w:p>
        </w:tc>
        <w:tc>
          <w:tcPr>
            <w:tcW w:type="dxa" w:w="4680"/>
          </w:tcPr>
          <w:p>
            <w:r>
              <w:rPr>
                <w:sz w:val="22"/>
              </w:rPr>
              <w:t>~60–75 days to bloom</w:t>
            </w:r>
          </w:p>
        </w:tc>
      </w:tr>
      <w:tr>
        <w:tc>
          <w:tcPr>
            <w:tcW w:type="dxa" w:w="4680"/>
          </w:tcPr>
          <w:p>
            <w:r>
              <w:rPr>
                <w:b/>
                <w:sz w:val="22"/>
              </w:rPr>
              <w:t>Height When Mature</w:t>
            </w:r>
          </w:p>
        </w:tc>
        <w:tc>
          <w:tcPr>
            <w:tcW w:type="dxa" w:w="4680"/>
          </w:tcPr>
          <w:p>
            <w:r>
              <w:rPr>
                <w:sz w:val="22"/>
              </w:rPr>
              <w:t>3–12 inches</w:t>
            </w:r>
          </w:p>
        </w:tc>
      </w:tr>
      <w:tr>
        <w:tc>
          <w:tcPr>
            <w:tcW w:type="dxa" w:w="4680"/>
          </w:tcPr>
          <w:p>
            <w:r>
              <w:rPr>
                <w:b/>
                <w:sz w:val="22"/>
              </w:rPr>
              <w:t>Seeding Rate</w:t>
            </w:r>
          </w:p>
        </w:tc>
        <w:tc>
          <w:tcPr>
            <w:tcW w:type="dxa" w:w="4680"/>
          </w:tcPr>
          <w:p>
            <w:r>
              <w:rPr>
                <w:sz w:val="22"/>
              </w:rPr>
              <w:t>20–30 lbs per acre (broadcast)</w:t>
            </w:r>
          </w:p>
        </w:tc>
      </w:tr>
      <w:tr>
        <w:tc>
          <w:tcPr>
            <w:tcW w:type="dxa" w:w="4680"/>
          </w:tcPr>
          <w:p>
            <w:r>
              <w:rPr>
                <w:b/>
                <w:sz w:val="22"/>
              </w:rPr>
              <w:t>Planting Depth</w:t>
            </w:r>
          </w:p>
        </w:tc>
        <w:tc>
          <w:tcPr>
            <w:tcW w:type="dxa" w:w="4680"/>
          </w:tcPr>
          <w:p>
            <w:r>
              <w:rPr>
                <w:sz w:val="22"/>
              </w:rPr>
              <w:t>1/8 inch—light cover</w:t>
            </w:r>
          </w:p>
        </w:tc>
      </w:tr>
    </w:tbl>
    <w:p/>
    <w:p>
      <w:pPr>
        <w:pStyle w:val="Heading3"/>
      </w:pPr>
      <w:r>
        <w:rPr>
          <w:sz w:val="28"/>
        </w:rPr>
        <w:t>Charming Small Blooms</w:t>
      </w:r>
    </w:p>
    <w:p>
      <w:r>
        <w:rPr>
          <w:sz w:val="22"/>
        </w:rPr>
        <w:t>Lovely bicolor flowers on a diminutive plant.</w:t>
      </w:r>
    </w:p>
    <w:p>
      <w:pPr>
        <w:pStyle w:val="Heading3"/>
      </w:pPr>
      <w:r>
        <w:rPr>
          <w:sz w:val="28"/>
        </w:rPr>
        <w:t>Quick to Flower</w:t>
      </w:r>
    </w:p>
    <w:p>
      <w:r>
        <w:rPr>
          <w:sz w:val="22"/>
        </w:rPr>
        <w:t>Blooms about two months from seed for fast spring color.</w:t>
      </w:r>
    </w:p>
    <w:p>
      <w:pPr>
        <w:pStyle w:val="Heading3"/>
      </w:pPr>
      <w:r>
        <w:rPr>
          <w:sz w:val="28"/>
        </w:rPr>
        <w:t>Self-Seeding Annual</w:t>
      </w:r>
    </w:p>
    <w:p>
      <w:r>
        <w:rPr>
          <w:sz w:val="22"/>
        </w:rPr>
        <w:t>Readily reseeds to maintain a naturalized patch.</w:t>
      </w:r>
    </w:p>
    <w:p>
      <w:pPr>
        <w:pStyle w:val="Heading3"/>
      </w:pPr>
      <w:r>
        <w:rPr>
          <w:sz w:val="28"/>
        </w:rPr>
        <w:t>Soil Improver</w:t>
      </w:r>
    </w:p>
    <w:p>
      <w:r>
        <w:rPr>
          <w:sz w:val="22"/>
        </w:rPr>
        <w:t>Fixes nitrogen, enriching soil for companion plants.</w:t>
      </w:r>
    </w:p>
    <w:p>
      <w:pPr>
        <w:pStyle w:val="Heading3"/>
      </w:pPr>
      <w:r>
        <w:rPr>
          <w:sz w:val="28"/>
        </w:rPr>
        <w:t>Low-Growing &amp; Versatile</w:t>
      </w:r>
    </w:p>
    <w:p>
      <w:r>
        <w:rPr>
          <w:sz w:val="22"/>
        </w:rPr>
        <w:t>Perfect for wildflower lawns, containers, and border fronts.</w:t>
      </w:r>
    </w:p>
    <w:p>
      <w:pPr>
        <w:pStyle w:val="Heading2"/>
      </w:pPr>
      <w:r>
        <w:rPr>
          <w:b/>
          <w:sz w:val="28"/>
        </w:rPr>
        <w:t>Plant Characteristics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 Shade</w:t>
            </w:r>
          </w:p>
        </w:tc>
        <w:tc>
          <w:tcPr>
            <w:tcW w:type="dxa" w:w="4680"/>
          </w:tcPr>
          <w:p>
            <w:r>
              <w:rPr>
                <w:sz w:val="22"/>
              </w:rPr>
              <w:t>Full Sun</w:t>
            </w:r>
          </w:p>
        </w:tc>
      </w:tr>
      <w:tr>
        <w:tc>
          <w:tcPr>
            <w:tcW w:type="dxa" w:w="4680"/>
          </w:tcPr>
          <w:p>
            <w:r>
              <w:rPr>
                <w:b/>
                <w:sz w:val="22"/>
              </w:rPr>
              <w:t>Height When Mature</w:t>
            </w:r>
          </w:p>
        </w:tc>
        <w:tc>
          <w:tcPr>
            <w:tcW w:type="dxa" w:w="4680"/>
          </w:tcPr>
          <w:p>
            <w:r>
              <w:rPr>
                <w:sz w:val="22"/>
              </w:rPr>
              <w:t>3–12 inches</w:t>
            </w:r>
          </w:p>
        </w:tc>
      </w:tr>
      <w:tr>
        <w:tc>
          <w:tcPr>
            <w:tcW w:type="dxa" w:w="4680"/>
          </w:tcPr>
          <w:p>
            <w:r>
              <w:rPr>
                <w:b/>
                <w:sz w:val="22"/>
              </w:rPr>
              <w:t>Seeding Rate</w:t>
            </w:r>
          </w:p>
        </w:tc>
        <w:tc>
          <w:tcPr>
            <w:tcW w:type="dxa" w:w="4680"/>
          </w:tcPr>
          <w:p>
            <w:r>
              <w:rPr>
                <w:sz w:val="22"/>
              </w:rPr>
              <w:t>20–30 lbs/acre</w:t>
            </w:r>
          </w:p>
        </w:tc>
      </w:tr>
      <w:tr>
        <w:tc>
          <w:tcPr>
            <w:tcW w:type="dxa" w:w="4680"/>
          </w:tcPr>
          <w:p>
            <w:r>
              <w:rPr>
                <w:b/>
                <w:sz w:val="22"/>
              </w:rPr>
              <w:t>Uses</w:t>
            </w:r>
          </w:p>
        </w:tc>
        <w:tc>
          <w:tcPr>
            <w:tcW w:type="dxa" w:w="4680"/>
          </w:tcPr>
          <w:p>
            <w:r>
              <w:rPr>
                <w:sz w:val="22"/>
              </w:rPr>
              <w:t>Native wildflower lawns, meadow mixes, roadside revegetation, cover crop</w:t>
            </w:r>
          </w:p>
        </w:tc>
      </w:tr>
      <w:tr>
        <w:tc>
          <w:tcPr>
            <w:tcW w:type="dxa" w:w="4680"/>
          </w:tcPr>
          <w:p>
            <w:r>
              <w:rPr>
                <w:b/>
                <w:sz w:val="22"/>
              </w:rPr>
              <w:t>Color</w:t>
            </w:r>
          </w:p>
        </w:tc>
        <w:tc>
          <w:tcPr>
            <w:tcW w:type="dxa" w:w="4680"/>
          </w:tcPr>
          <w:p>
            <w:r>
              <w:rPr>
                <w:sz w:val="22"/>
              </w:rPr>
              <w:t>Blue-violet and white</w:t>
            </w:r>
          </w:p>
        </w:tc>
      </w:tr>
      <w:tr>
        <w:tc>
          <w:tcPr>
            <w:tcW w:type="dxa" w:w="4680"/>
          </w:tcPr>
          <w:p>
            <w:r>
              <w:rPr>
                <w:b/>
                <w:sz w:val="22"/>
              </w:rPr>
              <w:t>Water</w:t>
            </w:r>
          </w:p>
        </w:tc>
        <w:tc>
          <w:tcPr>
            <w:tcW w:type="dxa" w:w="4680"/>
          </w:tcPr>
          <w:p>
            <w:r>
              <w:rPr>
                <w:sz w:val="22"/>
              </w:rPr>
              <w:t>Low—seasonal rainfall; dry summer dormancy</w:t>
            </w:r>
          </w:p>
        </w:tc>
      </w:tr>
      <w:tr>
        <w:tc>
          <w:tcPr>
            <w:tcW w:type="dxa" w:w="4680"/>
          </w:tcPr>
          <w:p>
            <w:r>
              <w:rPr>
                <w:b/>
                <w:sz w:val="22"/>
              </w:rPr>
              <w:t>Native / Introduced</w:t>
            </w:r>
          </w:p>
        </w:tc>
        <w:tc>
          <w:tcPr>
            <w:tcW w:type="dxa" w:w="4680"/>
          </w:tcPr>
          <w:p>
            <w:r>
              <w:rPr>
                <w:sz w:val="22"/>
              </w:rPr>
              <w:t>Native to Western North America</w:t>
            </w:r>
          </w:p>
        </w:tc>
      </w:tr>
      <w:tr>
        <w:tc>
          <w:tcPr>
            <w:tcW w:type="dxa" w:w="4680"/>
          </w:tcPr>
          <w:p>
            <w:r>
              <w:rPr>
                <w:b/>
                <w:sz w:val="22"/>
              </w:rPr>
              <w:t>Life Form</w:t>
            </w:r>
          </w:p>
        </w:tc>
        <w:tc>
          <w:tcPr>
            <w:tcW w:type="dxa" w:w="4680"/>
          </w:tcPr>
          <w:p>
            <w:r>
              <w:rPr>
                <w:sz w:val="22"/>
              </w:rPr>
              <w:t>Annual wildflower</w:t>
            </w:r>
          </w:p>
        </w:tc>
      </w:tr>
    </w:tbl>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