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b/>
          <w:sz w:val="48"/>
        </w:rPr>
        <w:t>Western yarrow</w:t>
      </w:r>
    </w:p>
    <w:p/>
    <w:p>
      <w:pPr>
        <w:pStyle w:val="Heading2"/>
      </w:pPr>
      <w:r>
        <w:rPr>
          <w:sz w:val="32"/>
        </w:rPr>
        <w:t>W-ACLA-0.25-LB</w:t>
      </w:r>
    </w:p>
    <w:p>
      <w:pPr>
        <w:pStyle w:val="Heading2"/>
      </w:pPr>
      <w:r>
        <w:rPr>
          <w:sz w:val="32"/>
        </w:rPr>
        <w:t>Achillea millefolium</w:t>
      </w:r>
    </w:p>
    <w:p>
      <w:r>
        <w:rPr>
          <w:b/>
          <w:sz w:val="24"/>
        </w:rPr>
        <w:t xml:space="preserve">What Is The? ( Seo Description 100-200 Words): </w:t>
      </w:r>
      <w:r>
        <w:rPr>
          <w:sz w:val="24"/>
        </w:rPr>
        <w:t>Western Yarrow (Achillea millefolium) is a hardy perennial wildflower prized for its feathery foliage and clusters of creamy white blooms. A versatile native plant, yarrow thrives in poor, dry soils and is drought-tolerant once established. It blooms from late spring through fall, attracting butterflies, bees, and other beneficial pollinators to the garden. Gardeners love yarrow for its low maintenance and resilience—deer and rabbits tend to avoid it—and it can even handle coastal conditions and moderate shade. Use Western Yarrow in waterwise landscapes, wildflower meadows, or as a fragrant, long-blooming cut flower. This tough plant will spread over time via rhizomes, creating a natural carpet of greenery topped with flat-topped flower clusters that add classic charm.</w:t>
      </w:r>
    </w:p>
    <w:p>
      <w:pPr>
        <w:pStyle w:val="Heading2"/>
      </w:pPr>
      <w:r>
        <w:rPr>
          <w:b/>
          <w:sz w:val="28"/>
        </w:rPr>
        <w:t>Growing Conditions</w:t>
      </w:r>
    </w:p>
    <w:tbl>
      <w:tblPr>
        <w:tblStyle w:val="TableGrid"/>
        <w:tblW w:type="auto" w:w="0"/>
        <w:tblLook w:firstColumn="1" w:firstRow="1" w:lastColumn="0" w:lastRow="0" w:noHBand="0" w:noVBand="1" w:val="04A0"/>
      </w:tblPr>
      <w:tblGrid>
        <w:gridCol w:w="4680"/>
        <w:gridCol w:w="4680"/>
      </w:tblGrid>
      <w:tr>
        <w:tc>
          <w:tcPr>
            <w:tcW w:type="dxa" w:w="4680"/>
          </w:tcPr>
          <w:p>
            <w:r>
              <w:rPr>
                <w:b/>
                <w:sz w:val="22"/>
              </w:rPr>
              <w:t>Sun Requirements (full Sun, Full Sun To Partial Shade, Shade)</w:t>
            </w:r>
          </w:p>
        </w:tc>
        <w:tc>
          <w:tcPr>
            <w:tcW w:type="dxa" w:w="4680"/>
          </w:tcPr>
          <w:p>
            <w:r>
              <w:rPr>
                <w:sz w:val="22"/>
              </w:rPr>
              <w:t>Full Sun to Partial Shade</w:t>
            </w:r>
          </w:p>
        </w:tc>
      </w:tr>
      <w:tr>
        <w:tc>
          <w:tcPr>
            <w:tcW w:type="dxa" w:w="4680"/>
          </w:tcPr>
          <w:p>
            <w:r>
              <w:rPr>
                <w:b/>
                <w:sz w:val="22"/>
              </w:rPr>
              <w:t>Soil Preference</w:t>
            </w:r>
          </w:p>
        </w:tc>
        <w:tc>
          <w:tcPr>
            <w:tcW w:type="dxa" w:w="4680"/>
          </w:tcPr>
          <w:p>
            <w:r>
              <w:rPr>
                <w:sz w:val="22"/>
              </w:rPr>
              <w:t>Adaptable—sandy, loamy, or clay soils as long as well-drained</w:t>
            </w:r>
          </w:p>
        </w:tc>
      </w:tr>
      <w:tr>
        <w:tc>
          <w:tcPr>
            <w:tcW w:type="dxa" w:w="4680"/>
          </w:tcPr>
          <w:p>
            <w:r>
              <w:rPr>
                <w:b/>
                <w:sz w:val="22"/>
              </w:rPr>
              <w:t>Soil Ph</w:t>
            </w:r>
          </w:p>
        </w:tc>
        <w:tc>
          <w:tcPr>
            <w:tcW w:type="dxa" w:w="4680"/>
          </w:tcPr>
          <w:p>
            <w:r>
              <w:rPr>
                <w:sz w:val="22"/>
              </w:rPr>
              <w:t>Neutral to slightly acidic to slightly alkaline (approx. pH 6.0–8.0)</w:t>
            </w:r>
          </w:p>
        </w:tc>
      </w:tr>
      <w:tr>
        <w:tc>
          <w:tcPr>
            <w:tcW w:type="dxa" w:w="4680"/>
          </w:tcPr>
          <w:p>
            <w:r>
              <w:rPr>
                <w:b/>
                <w:sz w:val="22"/>
              </w:rPr>
              <w:t>Days To Maturity</w:t>
            </w:r>
          </w:p>
        </w:tc>
        <w:tc>
          <w:tcPr>
            <w:tcW w:type="dxa" w:w="4680"/>
          </w:tcPr>
          <w:p>
            <w:r>
              <w:rPr>
                <w:sz w:val="22"/>
              </w:rPr>
              <w:t>~120 days from seed to first bloom</w:t>
            </w:r>
          </w:p>
        </w:tc>
      </w:tr>
      <w:tr>
        <w:tc>
          <w:tcPr>
            <w:tcW w:type="dxa" w:w="4680"/>
          </w:tcPr>
          <w:p>
            <w:r>
              <w:rPr>
                <w:b/>
                <w:sz w:val="22"/>
              </w:rPr>
              <w:t>Height When Mature</w:t>
            </w:r>
          </w:p>
        </w:tc>
        <w:tc>
          <w:tcPr>
            <w:tcW w:type="dxa" w:w="4680"/>
          </w:tcPr>
          <w:p>
            <w:r>
              <w:rPr>
                <w:sz w:val="22"/>
              </w:rPr>
              <w:t>1–3 ft tall</w:t>
            </w:r>
          </w:p>
        </w:tc>
      </w:tr>
      <w:tr>
        <w:tc>
          <w:tcPr>
            <w:tcW w:type="dxa" w:w="4680"/>
          </w:tcPr>
          <w:p>
            <w:r>
              <w:rPr>
                <w:b/>
                <w:sz w:val="22"/>
              </w:rPr>
              <w:t>Seeding Rate</w:t>
            </w:r>
          </w:p>
        </w:tc>
        <w:tc>
          <w:tcPr>
            <w:tcW w:type="dxa" w:w="4680"/>
          </w:tcPr>
          <w:p>
            <w:r>
              <w:rPr>
                <w:sz w:val="22"/>
              </w:rPr>
              <w:t>0.25–0.5 lb per acre (pure stand)</w:t>
            </w:r>
          </w:p>
        </w:tc>
      </w:tr>
      <w:tr>
        <w:tc>
          <w:tcPr>
            <w:tcW w:type="dxa" w:w="4680"/>
          </w:tcPr>
          <w:p>
            <w:r>
              <w:rPr>
                <w:b/>
                <w:sz w:val="22"/>
              </w:rPr>
              <w:t>Planting Depth</w:t>
            </w:r>
          </w:p>
        </w:tc>
        <w:tc>
          <w:tcPr>
            <w:tcW w:type="dxa" w:w="4680"/>
          </w:tcPr>
          <w:p>
            <w:r>
              <w:rPr>
                <w:sz w:val="22"/>
              </w:rPr>
              <w:t>Surface sow (needs light; do not cover)</w:t>
            </w:r>
          </w:p>
        </w:tc>
      </w:tr>
    </w:tbl>
    <w:p/>
    <w:p>
      <w:pPr>
        <w:pStyle w:val="Heading3"/>
      </w:pPr>
      <w:r>
        <w:rPr>
          <w:sz w:val="28"/>
        </w:rPr>
        <w:t>Extreme Drought Tolerance</w:t>
      </w:r>
    </w:p>
    <w:p>
      <w:r>
        <w:rPr>
          <w:sz w:val="22"/>
        </w:rPr>
        <w:t>Thrives with very little water once established—ideal for xeriscaping and low-water gardens.</w:t>
      </w:r>
    </w:p>
    <w:p>
      <w:pPr>
        <w:pStyle w:val="Heading3"/>
      </w:pPr>
      <w:r>
        <w:rPr>
          <w:sz w:val="28"/>
        </w:rPr>
        <w:t>Pollinator Friendly</w:t>
      </w:r>
    </w:p>
    <w:p>
      <w:r>
        <w:rPr>
          <w:sz w:val="22"/>
        </w:rPr>
        <w:t>Flat-topped flower clusters are a favorite of butterflies, bees, and beneficial insects.</w:t>
      </w:r>
    </w:p>
    <w:p>
      <w:pPr>
        <w:pStyle w:val="Heading3"/>
      </w:pPr>
      <w:r>
        <w:rPr>
          <w:sz w:val="28"/>
        </w:rPr>
        <w:t>Deer and Rabbit Resistant</w:t>
      </w:r>
    </w:p>
    <w:p>
      <w:r>
        <w:rPr>
          <w:sz w:val="22"/>
        </w:rPr>
        <w:t>Aromatic foliage deters browsing, so plantings are less likely to be eaten.</w:t>
      </w:r>
    </w:p>
    <w:p>
      <w:pPr>
        <w:pStyle w:val="Heading3"/>
      </w:pPr>
      <w:r>
        <w:rPr>
          <w:sz w:val="28"/>
        </w:rPr>
        <w:t>Long Blooming &amp; Low Maintenance</w:t>
      </w:r>
    </w:p>
    <w:p>
      <w:r>
        <w:rPr>
          <w:sz w:val="22"/>
        </w:rPr>
        <w:t>Blooms from late spring through summer with minimal care; deadheading extends bloom.</w:t>
      </w:r>
    </w:p>
    <w:p>
      <w:pPr>
        <w:pStyle w:val="Heading3"/>
      </w:pPr>
      <w:r>
        <w:rPr>
          <w:sz w:val="28"/>
        </w:rPr>
        <w:t>Versatile Native Groundcover</w:t>
      </w:r>
    </w:p>
    <w:p>
      <w:r>
        <w:rPr>
          <w:sz w:val="22"/>
        </w:rPr>
        <w:t>Spreads gradually by rhizomes to form a hardy groundcover for meadows and borders.</w:t>
      </w:r>
    </w:p>
    <w:p>
      <w:pPr>
        <w:pStyle w:val="Heading2"/>
      </w:pPr>
      <w:r>
        <w:rPr>
          <w:b/>
          <w:sz w:val="28"/>
        </w:rPr>
        <w:t>Plant Characteristics</w:t>
      </w:r>
    </w:p>
    <w:tbl>
      <w:tblPr>
        <w:tblStyle w:val="TableGrid"/>
        <w:tblW w:type="auto" w:w="0"/>
        <w:tblLook w:firstColumn="1" w:firstRow="1" w:lastColumn="0" w:lastRow="0" w:noHBand="0" w:noVBand="1" w:val="04A0"/>
      </w:tblPr>
      <w:tblGrid>
        <w:gridCol w:w="4680"/>
        <w:gridCol w:w="4680"/>
      </w:tblGrid>
      <w:tr>
        <w:tc>
          <w:tcPr>
            <w:tcW w:type="dxa" w:w="4680"/>
          </w:tcPr>
          <w:p>
            <w:r>
              <w:rPr>
                <w:b/>
                <w:sz w:val="22"/>
              </w:rPr>
              <w:t>Sun / Shade</w:t>
            </w:r>
          </w:p>
        </w:tc>
        <w:tc>
          <w:tcPr>
            <w:tcW w:type="dxa" w:w="4680"/>
          </w:tcPr>
          <w:p>
            <w:r>
              <w:rPr>
                <w:sz w:val="22"/>
              </w:rPr>
              <w:t>Full Sun to Partial Shade</w:t>
            </w:r>
          </w:p>
        </w:tc>
      </w:tr>
      <w:tr>
        <w:tc>
          <w:tcPr>
            <w:tcW w:type="dxa" w:w="4680"/>
          </w:tcPr>
          <w:p>
            <w:r>
              <w:rPr>
                <w:b/>
                <w:sz w:val="22"/>
              </w:rPr>
              <w:t>Height When Mature</w:t>
            </w:r>
          </w:p>
        </w:tc>
        <w:tc>
          <w:tcPr>
            <w:tcW w:type="dxa" w:w="4680"/>
          </w:tcPr>
          <w:p>
            <w:r>
              <w:rPr>
                <w:sz w:val="22"/>
              </w:rPr>
              <w:t>1–3 ft</w:t>
            </w:r>
          </w:p>
        </w:tc>
      </w:tr>
      <w:tr>
        <w:tc>
          <w:tcPr>
            <w:tcW w:type="dxa" w:w="4680"/>
          </w:tcPr>
          <w:p>
            <w:r>
              <w:rPr>
                <w:b/>
                <w:sz w:val="22"/>
              </w:rPr>
              <w:t>Seeding Rate</w:t>
            </w:r>
          </w:p>
        </w:tc>
        <w:tc>
          <w:tcPr>
            <w:tcW w:type="dxa" w:w="4680"/>
          </w:tcPr>
          <w:p>
            <w:r>
              <w:rPr>
                <w:sz w:val="22"/>
              </w:rPr>
              <w:t>0.25–0.5 lb per acre</w:t>
            </w:r>
          </w:p>
        </w:tc>
      </w:tr>
      <w:tr>
        <w:tc>
          <w:tcPr>
            <w:tcW w:type="dxa" w:w="4680"/>
          </w:tcPr>
          <w:p>
            <w:r>
              <w:rPr>
                <w:b/>
                <w:sz w:val="22"/>
              </w:rPr>
              <w:t>Uses</w:t>
            </w:r>
          </w:p>
        </w:tc>
        <w:tc>
          <w:tcPr>
            <w:tcW w:type="dxa" w:w="4680"/>
          </w:tcPr>
          <w:p>
            <w:r>
              <w:rPr>
                <w:sz w:val="22"/>
              </w:rPr>
              <w:t>Waterwise gardens, meadow plantings, erosion control, cut flowers</w:t>
            </w:r>
          </w:p>
        </w:tc>
      </w:tr>
      <w:tr>
        <w:tc>
          <w:tcPr>
            <w:tcW w:type="dxa" w:w="4680"/>
          </w:tcPr>
          <w:p>
            <w:r>
              <w:rPr>
                <w:b/>
                <w:sz w:val="22"/>
              </w:rPr>
              <w:t>Color</w:t>
            </w:r>
          </w:p>
        </w:tc>
        <w:tc>
          <w:tcPr>
            <w:tcW w:type="dxa" w:w="4680"/>
          </w:tcPr>
          <w:p>
            <w:r>
              <w:rPr>
                <w:sz w:val="22"/>
              </w:rPr>
              <w:t>White flower clusters; gray-green foliage</w:t>
            </w:r>
          </w:p>
        </w:tc>
      </w:tr>
      <w:tr>
        <w:tc>
          <w:tcPr>
            <w:tcW w:type="dxa" w:w="4680"/>
          </w:tcPr>
          <w:p>
            <w:r>
              <w:rPr>
                <w:b/>
                <w:sz w:val="22"/>
              </w:rPr>
              <w:t>Water</w:t>
            </w:r>
          </w:p>
        </w:tc>
        <w:tc>
          <w:tcPr>
            <w:tcW w:type="dxa" w:w="4680"/>
          </w:tcPr>
          <w:p>
            <w:r>
              <w:rPr>
                <w:sz w:val="22"/>
              </w:rPr>
              <w:t>Low—highly drought tolerant once established</w:t>
            </w:r>
          </w:p>
        </w:tc>
      </w:tr>
      <w:tr>
        <w:tc>
          <w:tcPr>
            <w:tcW w:type="dxa" w:w="4680"/>
          </w:tcPr>
          <w:p>
            <w:r>
              <w:rPr>
                <w:b/>
                <w:sz w:val="22"/>
              </w:rPr>
              <w:t>Native / Introduced</w:t>
            </w:r>
          </w:p>
        </w:tc>
        <w:tc>
          <w:tcPr>
            <w:tcW w:type="dxa" w:w="4680"/>
          </w:tcPr>
          <w:p>
            <w:r>
              <w:rPr>
                <w:sz w:val="22"/>
              </w:rPr>
              <w:t>Native to North America (Western U.S.)</w:t>
            </w:r>
          </w:p>
        </w:tc>
      </w:tr>
      <w:tr>
        <w:tc>
          <w:tcPr>
            <w:tcW w:type="dxa" w:w="4680"/>
          </w:tcPr>
          <w:p>
            <w:r>
              <w:rPr>
                <w:b/>
                <w:sz w:val="22"/>
              </w:rPr>
              <w:t>Life Form</w:t>
            </w:r>
          </w:p>
        </w:tc>
        <w:tc>
          <w:tcPr>
            <w:tcW w:type="dxa" w:w="4680"/>
          </w:tcPr>
          <w:p>
            <w:r>
              <w:rPr>
                <w:sz w:val="22"/>
              </w:rPr>
              <w:t>Herbaceous perennial wildflower</w:t>
            </w:r>
          </w:p>
        </w:tc>
      </w:tr>
    </w:tbl>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