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sz w:val="48"/>
        </w:rPr>
        <w:t>Yellow Lupine</w:t>
      </w:r>
    </w:p>
    <w:p/>
    <w:p>
      <w:pPr>
        <w:pStyle w:val="Heading2"/>
      </w:pPr>
      <w:r>
        <w:rPr>
          <w:sz w:val="32"/>
        </w:rPr>
        <w:t>W-LUMI-0.25-LB</w:t>
      </w:r>
    </w:p>
    <w:p>
      <w:pPr>
        <w:pStyle w:val="Heading2"/>
      </w:pPr>
      <w:r>
        <w:rPr>
          <w:sz w:val="32"/>
        </w:rPr>
        <w:t>Lupinus microcarpus var. densiflorus</w:t>
      </w:r>
    </w:p>
    <w:p>
      <w:r>
        <w:rPr>
          <w:b/>
          <w:sz w:val="24"/>
        </w:rPr>
        <w:t xml:space="preserve">What Is The? ( Seo Description 100-200 Words): </w:t>
      </w:r>
      <w:r>
        <w:rPr>
          <w:sz w:val="24"/>
        </w:rPr>
        <w:t>Yellow Lupine (Lupinus microcarpus var. densiflorus), also called Golden Lupine, is a vibrant annual native to California. It produces tall spikes of golden-yellow, sweet pea-like blossoms that light up spring landscapes. As a nitrogen-fixing legume, it improves soil fertility while it grows—useful for cover cropping or enriching poor soils. Yellow Lupine thrives in open, sunny locations and tolerates clay and alkaline soils, blooming profusely where many flowers won’t. Pollinators flock to its fragrant blooms, especially native bees and butterflies. Fast-growing and low-maintenance, it brings ecological benefits and brilliant color to meadows, borders, and restoration plantings with minimal water once established.</w:t>
      </w:r>
    </w:p>
    <w:p>
      <w:pPr>
        <w:pStyle w:val="Heading2"/>
      </w:pPr>
      <w:r>
        <w:rPr>
          <w:b/>
          <w:sz w:val="28"/>
        </w:rPr>
        <w:t>Growing Conditions</w:t>
      </w:r>
    </w:p>
    <w:tbl>
      <w:tblPr>
        <w:tblStyle w:val="TableGrid"/>
        <w:tblW w:type="auto" w:w="0"/>
        <w:tblLook w:firstColumn="1" w:firstRow="1" w:lastColumn="0" w:lastRow="0" w:noHBand="0" w:noVBand="1" w:val="04A0"/>
      </w:tblPr>
      <w:tblGrid>
        <w:gridCol w:w="4680"/>
        <w:gridCol w:w="4680"/>
      </w:tblGrid>
      <w:tr>
        <w:tc>
          <w:tcPr>
            <w:tcW w:type="dxa" w:w="4680"/>
          </w:tcPr>
          <w:p>
            <w:r>
              <w:rPr>
                <w:b/>
                <w:sz w:val="22"/>
              </w:rPr>
              <w:t>Sun Requirements (full Sun, Full Sun To Partial Shade, Shade)</w:t>
            </w:r>
          </w:p>
        </w:tc>
        <w:tc>
          <w:tcPr>
            <w:tcW w:type="dxa" w:w="4680"/>
          </w:tcPr>
          <w:p>
            <w:r>
              <w:rPr>
                <w:sz w:val="22"/>
              </w:rPr>
              <w:t>Full Sun</w:t>
            </w:r>
          </w:p>
        </w:tc>
      </w:tr>
      <w:tr>
        <w:tc>
          <w:tcPr>
            <w:tcW w:type="dxa" w:w="4680"/>
          </w:tcPr>
          <w:p>
            <w:r>
              <w:rPr>
                <w:b/>
                <w:sz w:val="22"/>
              </w:rPr>
              <w:t>Soil Preference</w:t>
            </w:r>
          </w:p>
        </w:tc>
        <w:tc>
          <w:tcPr>
            <w:tcW w:type="dxa" w:w="4680"/>
          </w:tcPr>
          <w:p>
            <w:r>
              <w:rPr>
                <w:sz w:val="22"/>
              </w:rPr>
              <w:t>Well-drained but tolerates heavy clay and nutrient-poor soils</w:t>
            </w:r>
          </w:p>
        </w:tc>
      </w:tr>
      <w:tr>
        <w:tc>
          <w:tcPr>
            <w:tcW w:type="dxa" w:w="4680"/>
          </w:tcPr>
          <w:p>
            <w:r>
              <w:rPr>
                <w:b/>
                <w:sz w:val="22"/>
              </w:rPr>
              <w:t>Soil Ph</w:t>
            </w:r>
          </w:p>
        </w:tc>
        <w:tc>
          <w:tcPr>
            <w:tcW w:type="dxa" w:w="4680"/>
          </w:tcPr>
          <w:p>
            <w:r>
              <w:rPr>
                <w:sz w:val="22"/>
              </w:rPr>
              <w:t>Broadly tolerant, including alkaline soils</w:t>
            </w:r>
          </w:p>
        </w:tc>
      </w:tr>
      <w:tr>
        <w:tc>
          <w:tcPr>
            <w:tcW w:type="dxa" w:w="4680"/>
          </w:tcPr>
          <w:p>
            <w:r>
              <w:rPr>
                <w:b/>
                <w:sz w:val="22"/>
              </w:rPr>
              <w:t>Days To Maturity</w:t>
            </w:r>
          </w:p>
        </w:tc>
        <w:tc>
          <w:tcPr>
            <w:tcW w:type="dxa" w:w="4680"/>
          </w:tcPr>
          <w:p>
            <w:r>
              <w:rPr>
                <w:sz w:val="22"/>
              </w:rPr>
              <w:t>~90–110 days (spring bloom after fall planting)</w:t>
            </w:r>
          </w:p>
        </w:tc>
      </w:tr>
      <w:tr>
        <w:tc>
          <w:tcPr>
            <w:tcW w:type="dxa" w:w="4680"/>
          </w:tcPr>
          <w:p>
            <w:r>
              <w:rPr>
                <w:b/>
                <w:sz w:val="22"/>
              </w:rPr>
              <w:t>Height When Mature</w:t>
            </w:r>
          </w:p>
        </w:tc>
        <w:tc>
          <w:tcPr>
            <w:tcW w:type="dxa" w:w="4680"/>
          </w:tcPr>
          <w:p>
            <w:r>
              <w:rPr>
                <w:sz w:val="22"/>
              </w:rPr>
              <w:t>2–3 ft tall</w:t>
            </w:r>
          </w:p>
        </w:tc>
      </w:tr>
      <w:tr>
        <w:tc>
          <w:tcPr>
            <w:tcW w:type="dxa" w:w="4680"/>
          </w:tcPr>
          <w:p>
            <w:r>
              <w:rPr>
                <w:b/>
                <w:sz w:val="22"/>
              </w:rPr>
              <w:t>Seeding Rate</w:t>
            </w:r>
          </w:p>
        </w:tc>
        <w:tc>
          <w:tcPr>
            <w:tcW w:type="dxa" w:w="4680"/>
          </w:tcPr>
          <w:p>
            <w:r>
              <w:rPr>
                <w:sz w:val="22"/>
              </w:rPr>
              <w:t>10–15 lbs per acre (broadcast)</w:t>
            </w:r>
          </w:p>
        </w:tc>
      </w:tr>
      <w:tr>
        <w:tc>
          <w:tcPr>
            <w:tcW w:type="dxa" w:w="4680"/>
          </w:tcPr>
          <w:p>
            <w:r>
              <w:rPr>
                <w:b/>
                <w:sz w:val="22"/>
              </w:rPr>
              <w:t>Planting Depth</w:t>
            </w:r>
          </w:p>
        </w:tc>
        <w:tc>
          <w:tcPr>
            <w:tcW w:type="dxa" w:w="4680"/>
          </w:tcPr>
          <w:p>
            <w:r>
              <w:rPr>
                <w:sz w:val="22"/>
              </w:rPr>
              <w:t>1/8 inch—cover lightly</w:t>
            </w:r>
          </w:p>
        </w:tc>
      </w:tr>
    </w:tbl>
    <w:p/>
    <w:p>
      <w:pPr>
        <w:pStyle w:val="Heading3"/>
      </w:pPr>
      <w:r>
        <w:rPr>
          <w:sz w:val="28"/>
        </w:rPr>
        <w:t>Brilliant Spring Color</w:t>
      </w:r>
    </w:p>
    <w:p>
      <w:r>
        <w:rPr>
          <w:sz w:val="22"/>
        </w:rPr>
        <w:t>Masses of golden flower spikes attract attention and pollinators.</w:t>
      </w:r>
    </w:p>
    <w:p>
      <w:pPr>
        <w:pStyle w:val="Heading3"/>
      </w:pPr>
      <w:r>
        <w:rPr>
          <w:sz w:val="28"/>
        </w:rPr>
        <w:t>Soil-Enriching Legume</w:t>
      </w:r>
    </w:p>
    <w:p>
      <w:r>
        <w:rPr>
          <w:sz w:val="22"/>
        </w:rPr>
        <w:t>Fixes nitrogen via root nodules, improving soil fertility.</w:t>
      </w:r>
    </w:p>
    <w:p>
      <w:pPr>
        <w:pStyle w:val="Heading3"/>
      </w:pPr>
      <w:r>
        <w:rPr>
          <w:sz w:val="28"/>
        </w:rPr>
        <w:t>Easy &amp; Adaptable</w:t>
      </w:r>
    </w:p>
    <w:p>
      <w:r>
        <w:rPr>
          <w:sz w:val="22"/>
        </w:rPr>
        <w:t>Grows vigorously in sun and a wide range of soils, including clay.</w:t>
      </w:r>
    </w:p>
    <w:p>
      <w:pPr>
        <w:pStyle w:val="Heading3"/>
      </w:pPr>
      <w:r>
        <w:rPr>
          <w:sz w:val="28"/>
        </w:rPr>
        <w:t>Great for Restoration</w:t>
      </w:r>
    </w:p>
    <w:p>
      <w:r>
        <w:rPr>
          <w:sz w:val="22"/>
        </w:rPr>
        <w:t>Rapid growth and deep roots help stabilize soil on slopes.</w:t>
      </w:r>
    </w:p>
    <w:p>
      <w:pPr>
        <w:pStyle w:val="Heading3"/>
      </w:pPr>
      <w:r>
        <w:rPr>
          <w:sz w:val="28"/>
        </w:rPr>
        <w:t>Pollinator Magnet</w:t>
      </w:r>
    </w:p>
    <w:p>
      <w:r>
        <w:rPr>
          <w:sz w:val="22"/>
        </w:rPr>
        <w:t>Bright, fragrant blooms draw native bees and butterflies.</w:t>
      </w:r>
    </w:p>
    <w:p>
      <w:pPr>
        <w:pStyle w:val="Heading2"/>
      </w:pPr>
      <w:r>
        <w:rPr>
          <w:b/>
          <w:sz w:val="28"/>
        </w:rPr>
        <w:t>Plant Characteristics</w:t>
      </w:r>
    </w:p>
    <w:tbl>
      <w:tblPr>
        <w:tblStyle w:val="TableGrid"/>
        <w:tblW w:type="auto" w:w="0"/>
        <w:tblLook w:firstColumn="1" w:firstRow="1" w:lastColumn="0" w:lastRow="0" w:noHBand="0" w:noVBand="1" w:val="04A0"/>
      </w:tblPr>
      <w:tblGrid>
        <w:gridCol w:w="4680"/>
        <w:gridCol w:w="4680"/>
      </w:tblGrid>
      <w:tr>
        <w:tc>
          <w:tcPr>
            <w:tcW w:type="dxa" w:w="4680"/>
          </w:tcPr>
          <w:p>
            <w:r>
              <w:rPr>
                <w:b/>
                <w:sz w:val="22"/>
              </w:rPr>
              <w:t>Sun / Shade</w:t>
            </w:r>
          </w:p>
        </w:tc>
        <w:tc>
          <w:tcPr>
            <w:tcW w:type="dxa" w:w="4680"/>
          </w:tcPr>
          <w:p>
            <w:r>
              <w:rPr>
                <w:sz w:val="22"/>
              </w:rPr>
              <w:t>Full Sun</w:t>
            </w:r>
          </w:p>
        </w:tc>
      </w:tr>
      <w:tr>
        <w:tc>
          <w:tcPr>
            <w:tcW w:type="dxa" w:w="4680"/>
          </w:tcPr>
          <w:p>
            <w:r>
              <w:rPr>
                <w:b/>
                <w:sz w:val="22"/>
              </w:rPr>
              <w:t>Height When Mature</w:t>
            </w:r>
          </w:p>
        </w:tc>
        <w:tc>
          <w:tcPr>
            <w:tcW w:type="dxa" w:w="4680"/>
          </w:tcPr>
          <w:p>
            <w:r>
              <w:rPr>
                <w:sz w:val="22"/>
              </w:rPr>
              <w:t>2–3 ft</w:t>
            </w:r>
          </w:p>
        </w:tc>
      </w:tr>
      <w:tr>
        <w:tc>
          <w:tcPr>
            <w:tcW w:type="dxa" w:w="4680"/>
          </w:tcPr>
          <w:p>
            <w:r>
              <w:rPr>
                <w:b/>
                <w:sz w:val="22"/>
              </w:rPr>
              <w:t>Seeding Rate</w:t>
            </w:r>
          </w:p>
        </w:tc>
        <w:tc>
          <w:tcPr>
            <w:tcW w:type="dxa" w:w="4680"/>
          </w:tcPr>
          <w:p>
            <w:r>
              <w:rPr>
                <w:sz w:val="22"/>
              </w:rPr>
              <w:t>10–15 lbs/acre</w:t>
            </w:r>
          </w:p>
        </w:tc>
      </w:tr>
      <w:tr>
        <w:tc>
          <w:tcPr>
            <w:tcW w:type="dxa" w:w="4680"/>
          </w:tcPr>
          <w:p>
            <w:r>
              <w:rPr>
                <w:b/>
                <w:sz w:val="22"/>
              </w:rPr>
              <w:t>Uses</w:t>
            </w:r>
          </w:p>
        </w:tc>
        <w:tc>
          <w:tcPr>
            <w:tcW w:type="dxa" w:w="4680"/>
          </w:tcPr>
          <w:p>
            <w:r>
              <w:rPr>
                <w:sz w:val="22"/>
              </w:rPr>
              <w:t>Wildflower meadows, soil improvement (green manure), erosion control, pollinator gardens</w:t>
            </w:r>
          </w:p>
        </w:tc>
      </w:tr>
      <w:tr>
        <w:tc>
          <w:tcPr>
            <w:tcW w:type="dxa" w:w="4680"/>
          </w:tcPr>
          <w:p>
            <w:r>
              <w:rPr>
                <w:b/>
                <w:sz w:val="22"/>
              </w:rPr>
              <w:t>Color</w:t>
            </w:r>
          </w:p>
        </w:tc>
        <w:tc>
          <w:tcPr>
            <w:tcW w:type="dxa" w:w="4680"/>
          </w:tcPr>
          <w:p>
            <w:r>
              <w:rPr>
                <w:sz w:val="22"/>
              </w:rPr>
              <w:t>Golden yellow flower spikes</w:t>
            </w:r>
          </w:p>
        </w:tc>
      </w:tr>
      <w:tr>
        <w:tc>
          <w:tcPr>
            <w:tcW w:type="dxa" w:w="4680"/>
          </w:tcPr>
          <w:p>
            <w:r>
              <w:rPr>
                <w:b/>
                <w:sz w:val="22"/>
              </w:rPr>
              <w:t>Water</w:t>
            </w:r>
          </w:p>
        </w:tc>
        <w:tc>
          <w:tcPr>
            <w:tcW w:type="dxa" w:w="4680"/>
          </w:tcPr>
          <w:p>
            <w:r>
              <w:rPr>
                <w:sz w:val="22"/>
              </w:rPr>
              <w:t>Low to Moderate—moisture for establishment; prefers dry once established</w:t>
            </w:r>
          </w:p>
        </w:tc>
      </w:tr>
      <w:tr>
        <w:tc>
          <w:tcPr>
            <w:tcW w:type="dxa" w:w="4680"/>
          </w:tcPr>
          <w:p>
            <w:r>
              <w:rPr>
                <w:b/>
                <w:sz w:val="22"/>
              </w:rPr>
              <w:t>Native / Introduced</w:t>
            </w:r>
          </w:p>
        </w:tc>
        <w:tc>
          <w:tcPr>
            <w:tcW w:type="dxa" w:w="4680"/>
          </w:tcPr>
          <w:p>
            <w:r>
              <w:rPr>
                <w:sz w:val="22"/>
              </w:rPr>
              <w:t>Native to California</w:t>
            </w:r>
          </w:p>
        </w:tc>
      </w:tr>
      <w:tr>
        <w:tc>
          <w:tcPr>
            <w:tcW w:type="dxa" w:w="4680"/>
          </w:tcPr>
          <w:p>
            <w:r>
              <w:rPr>
                <w:b/>
                <w:sz w:val="22"/>
              </w:rPr>
              <w:t>Life Form</w:t>
            </w:r>
          </w:p>
        </w:tc>
        <w:tc>
          <w:tcPr>
            <w:tcW w:type="dxa" w:w="4680"/>
          </w:tcPr>
          <w:p>
            <w:r>
              <w:rPr>
                <w:sz w:val="22"/>
              </w:rPr>
              <w:t>Annual wildflower (legume)</w:t>
            </w:r>
          </w:p>
        </w:tc>
      </w:tr>
    </w:tbl>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