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Modelagem 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Após a divulgação da abertura de vagas na empresa ABC Ltda., os candidatos interessados são orientados a preencher um formulário online para participar do processo seletivo. As informações fornecidas são registradas no sistema de informação interno da empresa, acessível a todos os departamentos envolvidos no processo de contratação.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Ao submeter o formulário online, é gerado um documento PDF para download, solicitando que o candidato assine e envie novamente à empresa por e-mail, com os documentos exigidos em anexo: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Cópias autenticadas de certificados de cursos/graduação e comprovação de experiência na área.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Resultados de testes de habilidades técnicas.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Currículo.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Duas referências profissionais.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equipe de Recursos Humanos, ao receber os documentos, realiza uma verificação se todos foram devidamente submetidos. Se houver algum documento ausente, o candidato é notificado por e-mail, sendo necessário o envio dos documentos faltantes em resposta ao e-mail anterior, com um prazo de 48 horas. O não cumprimento resulta na exclusão do candidato do processo seletivo. O retorno da avaliação do RH será enviado em até 7 dias úteis para cada participante.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Submissões completas são encaminhadas pela equipe de Recursos Humanos para uma empresa terceirizada de verificação de referências profissionais. Essa empresa avalia a validade e a autenticidade das referências, entrando em contato com as referências indicadas na documentação entregue pelo participante do processo seletivo. A avaliação é concluída em até 3 dias úteis, determinando a veracidade das referências.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 as referências validadas, a equipe de RH confirma os resultados dos testes de habilidades técnicas junto aos profissionais avaliadores da empresa por e-mail. A falta de validação resulta na exclusão do candidato do processo seletivo, que será notificado por e-mail.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 todos os documentos e referências validadas, a equipe de Recursos Humanos encaminha as candidaturas para a comissão de seleção interna. A comissão se reúne periodicamente para avaliar as candidaturas prontas para análise. Após a reunião, o presidente da comissão notifica a equipe de RH dos resultados, que são cadastrados no sistema de informação. Os candidatos são automaticamente notificados por e-mail, e os aprovados recebem um e-mail de oferta de emprego, todo o processo ocorre dentro de uma semana.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Modelagem: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79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Correção oficial: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Erros encontrados: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 final: 8.75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GPT: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hyperlink r:id="rId7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GPT Modelagem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3.8 / 4.65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Gemini: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hyperlink r:id="rId8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Gemini Modelagem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9.2 / 8.8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DeepSeek: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hyperlink r:id="rId9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DeepSeek Modelagem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8.27 / 8.05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plz.ai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hyperlink r:id="rId10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plz.ai Modelagem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6.2 / 8.0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FreeBPMNQuality: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hyperlink r:id="rId11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FreeBPMN Modelagem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9.44 / 9.44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Modelagem 2: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processo inicia quando o cliente entra em contato com a empresa produtora, solicitando a compra de uma quantidade X de garrafas. A área administrativa é responsável pela conexão com o cliente e toda a parte burocrática.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Visto isso, na primeira fase do processo ocorre a definição de contratos, prazos, valores, seguros e garantias. Quando o contrato é fechado, o setor administrativo envia o projeto para a área de design de produtos, que será encarregado pela confecção dos moldes. Nesta fase, a equipe de design realiza uma reunião com o cliente para levantar os requisitos, especificar os padrões de cores, tamanho das garrafas, formato e limitações do produto. Em seguida, o molde é elaborado por meio de sistemas de softwares de modelagem específicos. Assim que pronto, o protótipo é enviado por e-mail para o cliente, com a finalidade de revisar se todos os requisitos foram atendidos.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cliente tem até 15 dias úteis para enviar uma resposta acerca do protótipo, seja para autorizar a produção do protótipo, ou solicitar novas propriedades. Caso haja alguma inconsistência no protótipo, ou o cliente necessite de alteração, a equipe de design marca uma nova reunião e o processo se repete até que o design do produto seja finalmente definido. Uma vez que tudo é delineado e validado com o cliente, o setor de design encaminha o protótipo para área administrativa, a fim de realizar o orçamento do projeto.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produção fica em posição de espera até que a administração realize o orçamento. Enquanto isso, ainda no setor de design, a equipe inicia o desenvolvimento e impressão dos rótulos. Quando finalizados, são entregues diretamente ao o setor de injeção. Com protótipo e orçamento prontos, o projeto é conduzido para o setor de sopro e, então, a produção da remessa é iniciada.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O operador de máquina injeta manualmente a  matéria-prima na pré-forma, onde são obtidos os tubos de ensaio.Após esse momento, os tubos de ensaio são inseridos em moldes metálicos, com a finalidade de transformá-los em uma espécie de pré-formas. Essas pré-formas são, finalmente, despachadas ao setor de sopro, no qual ocorre o aquecimento e o sopro sob alta pressão, que irá transformar os objetos em garrafas.É importante mencionar que o sopro só ocorre quando a máquina atinge 80 graus Celsius.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Ao sair do setor de sopro, as garrafas quase finalizadas são encaminhadas através de uma esteira para o setor de injeção. Assim que a remessa chega no setor de injeção, todas as garrafas recebem uma tampa e, simultaneamente, um rótulo. Mas, para que isso aconteça, é necessário que o setor de design tenha entregue, antes, todos os rótulos. Ao final da esteira, uma equipe de operários realiza a verificação do produto, visando encontrar possíveis falhas. Caso encontrem alguma inconsistência, a garrafa é separada e registrada na base de dados do sistema, contendo as especificações do erro.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Assim que a remessa acaba, um relatório de erros é extraído da base de dados, enviado para o setor administrativo e o processo é encerrado. Caso não haja erro na garrafa, a unidade é inserida em lotes de caixas até que não haja nenhuma unidade da remessa na esteira.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Por fim, as caixas são agrupadas e destinadas ao depósito, enquanto uma noticiação é enviada para o setor administrativo, informando que a produção foi concluída.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Modelagem: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784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Correção oficial: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Erros encontrados: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 final: 7.45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GPT: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hyperlink r:id="rId13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GPT Modelagem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3.6 / 4.28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Gemini: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hyperlink r:id="rId14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Gemini Modelagem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7.75 / 9.1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DeepSeek: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hyperlink r:id="rId15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DeepSeek Modelagem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6.4 / 5.3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plz.ai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hyperlink r:id="rId16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plz.ai Modelagem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7.975 / 3.8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Respostas FreeBPMNQuality: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hyperlink r:id="rId17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FreeBPMN Modelagem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Notas: 8.571 / 8.571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Hsdf-7BQUpAMLPXnch0yKzyk3iXTrHXdA0hNXfJcgus/edit?usp=sharing" TargetMode="External"/><Relationship Id="rId10" Type="http://schemas.openxmlformats.org/officeDocument/2006/relationships/hyperlink" Target="https://docs.google.com/document/d/1F5bmcos14bd-XRrh1yfxRtGZb-lCU-e8h7kptSP88So/edit?usp=sharing" TargetMode="External"/><Relationship Id="rId13" Type="http://schemas.openxmlformats.org/officeDocument/2006/relationships/hyperlink" Target="https://docs.google.com/document/d/1cxVnK3Shn3bcQlzTqebD5CCkIz3Sffb-mvrJoSv_XvQ/edit?usp=sharing" TargetMode="Externa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U8VbCVcAFvIkBDqtfQWQ-YhryqL_u3wNj2gbZWgFhs/edit?usp=sharing" TargetMode="External"/><Relationship Id="rId15" Type="http://schemas.openxmlformats.org/officeDocument/2006/relationships/hyperlink" Target="https://docs.google.com/document/d/1PxBGXGOM2Hh76I8kQIiuBLF0kRwmbkfV_0JWacLpmU0/edit?usp=sharing" TargetMode="External"/><Relationship Id="rId14" Type="http://schemas.openxmlformats.org/officeDocument/2006/relationships/hyperlink" Target="https://docs.google.com/document/d/1-WH1yscIYde0H52XQuA2W78krlTX7xqZlWdSkyK-9_Q/edit?usp=sharing" TargetMode="External"/><Relationship Id="rId17" Type="http://schemas.openxmlformats.org/officeDocument/2006/relationships/hyperlink" Target="https://docs.google.com/document/d/1SwjCieFzZBLl7Os9Ipjf9MvFNi-M0fmCRWUt3oxZAq4/edit?usp=sharing" TargetMode="External"/><Relationship Id="rId16" Type="http://schemas.openxmlformats.org/officeDocument/2006/relationships/hyperlink" Target="https://docs.google.com/document/d/162hHdn8gyM4_ACXEQTR93odgEVeNRH7Z2c2IF3u5d2Q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docs.google.com/document/d/1BdJEXs9U1F34wV4C-1cIFhOZ3qyBUNVUX3NQrFyW1D4/edit?usp=sharing" TargetMode="External"/><Relationship Id="rId8" Type="http://schemas.openxmlformats.org/officeDocument/2006/relationships/hyperlink" Target="https://docs.google.com/document/d/1xhLM6mm83VOQRn_ExxQ0Hffx4NAH6q2TXVfRa3xHfn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