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19538" cy="11719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1171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Universidade Federal de Pernambuco</w:t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bCs w:val="1"/>
          <w:color w:val="202124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Centro de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720"/>
        <w:jc w:val="both"/>
        <w:rPr>
          <w:rFonts w:ascii="Roboto" w:cs="Roboto" w:eastAsia="Roboto" w:hAnsi="Roboto"/>
          <w:b w:val="1"/>
          <w:bCs w:val="1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720"/>
        <w:jc w:val="both"/>
        <w:rPr>
          <w:rFonts w:ascii="Roboto" w:cs="Roboto" w:eastAsia="Roboto" w:hAnsi="Roboto"/>
          <w:b w:val="1"/>
          <w:bCs w:val="1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0" w:firstLine="0"/>
        <w:jc w:val="center"/>
        <w:rPr>
          <w:rFonts w:ascii="Roboto" w:cs="Roboto" w:eastAsia="Roboto" w:hAnsi="Roboto"/>
          <w:b w:val="1"/>
          <w:bCs w:val="1"/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highlight w:val="white"/>
          <w:rtl w:val="0"/>
        </w:rPr>
        <w:t xml:space="preserve">Modelagem III Processo de Negócio - Produção de garrafas PET</w:t>
      </w:r>
    </w:p>
    <w:p w:rsidR="00000000" w:rsidDel="00000000" w:rsidP="00000000" w:rsidRDefault="00000000" w:rsidRPr="00000000" w14:paraId="00000007">
      <w:pPr>
        <w:spacing w:line="276" w:lineRule="auto"/>
        <w:ind w:left="0" w:firstLine="0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O processo inicia quando o cliente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entra em contato com a empresa produtora, solicitando a compra de uma quantidade X de garrafas. A área administrativa é responsável pela conexão com o cliente e toda a parte burocrática. </w:t>
      </w:r>
    </w:p>
    <w:p w:rsidR="00000000" w:rsidDel="00000000" w:rsidP="00000000" w:rsidRDefault="00000000" w:rsidRPr="00000000" w14:paraId="00000009">
      <w:pPr>
        <w:spacing w:line="276" w:lineRule="auto"/>
        <w:ind w:firstLine="720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Visto isso, na primeira fase do processo ocorre a definição de contratos, prazos, valores, seguros e garantias. Quando o contrato é fechado, o setor administrativo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envia o projeto para a área de design de produtos, que será encarregado pela confecção dos moldes. Nesta fase, a equipe de design realiza uma reunião com o cliente para levantar os requisitos, especificar os padrões de cores, tamanho das garrafas, formato e limitações do produto. Em seguida, o molde é elaborado por meio de sistemas de softwares de modelagem específicos. Assim que pronto, o protótipo é enviado por e-mail para o cliente, com a finalidade de revisar se todos os requisitos foram atendidos. </w:t>
      </w:r>
    </w:p>
    <w:p w:rsidR="00000000" w:rsidDel="00000000" w:rsidP="00000000" w:rsidRDefault="00000000" w:rsidRPr="00000000" w14:paraId="0000000B">
      <w:pPr>
        <w:spacing w:line="276" w:lineRule="auto"/>
        <w:ind w:left="0" w:firstLine="720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O cliente tem até 15 dias úteis para enviar uma resposta acerca do protótipo, seja para autorizar a produção do protótipo, ou solicitar novas propriedades. Caso haja alguma inconsistência no protótipo, ou o cliente necessite de alteração, a equipe de design marca uma nova reunião e o processo se repete até que o design do produto seja finalmente definido. Uma vez que tudo é delineado e validado com o cliente, o setor de design encaminha o protótipo para área administrativa, a fim de realizar o orçamento do projeto. </w:t>
      </w:r>
    </w:p>
    <w:p w:rsidR="00000000" w:rsidDel="00000000" w:rsidP="00000000" w:rsidRDefault="00000000" w:rsidRPr="00000000" w14:paraId="0000000D">
      <w:pPr>
        <w:spacing w:line="276" w:lineRule="auto"/>
        <w:ind w:firstLine="720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A produção fica em posição de espera até que a administração realize o orçamento. Enquanto isso, ainda no setor de design, a equipe inicia o desenvolvimento e impressão dos rótulos. Quando finalizados, são entregues diretamente ao o setor de injeção. Com protótipo e orçamento prontos, o projeto é conduzido para o setor de sopro e, então, a produção da remessa é iniciada.</w:t>
      </w:r>
    </w:p>
    <w:p w:rsidR="00000000" w:rsidDel="00000000" w:rsidP="00000000" w:rsidRDefault="00000000" w:rsidRPr="00000000" w14:paraId="0000000F">
      <w:pPr>
        <w:spacing w:line="276" w:lineRule="auto"/>
        <w:ind w:firstLine="720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 O operador de máquina injeta manualmente a  matéria-prima na pré-forma, onde são obtidos os tubos de ensaio.Após esse momento, os tubos de ensaio são inseridos em moldes metálicos, com a finalidade de transformá-los em uma espécie de pré-formas. Essas pré-formas são, finalmente, despachadas ao setor de sopro, no qual ocorre o aquecimento e o sopro sob alta pressão, que irá transformar os objetos em garrafas.É importante mencionar que o sopro só ocorre quando a máquina atinge 80 graus Celsius.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 Ao sair do setor de sopro, as garrafas quase finalizadas são encaminhadas através de uma esteira para o setor de injeção. Assim que a remessa chega no setor de injeção, todas as garrafas recebem uma tampa e, simultaneamente, um rótulo. Mas, para que isso aconteça, é necessário que o setor de design tenha entregue, antes, todos os rótulos. Ao final da esteira, uma equipe de operários realiza a verificação do produto, visando encontrar possíveis falhas. Caso encontrem alguma inconsistência, a garrafa é separada e registrada na base de dados do sistema, contendo as especificações do erro. </w:t>
      </w:r>
    </w:p>
    <w:p w:rsidR="00000000" w:rsidDel="00000000" w:rsidP="00000000" w:rsidRDefault="00000000" w:rsidRPr="00000000" w14:paraId="00000013">
      <w:pPr>
        <w:spacing w:line="276" w:lineRule="auto"/>
        <w:ind w:firstLine="720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Assim que a remessa acaba, um relatório de erros é extraído da base de dados, enviado para o setor administrativo e o processo é encerrado. Caso não haja erro na garrafa, a unidade é inserida em lotes de caixas até que não haja nenhuma unidade da remessa na esteira.</w:t>
      </w:r>
    </w:p>
    <w:p w:rsidR="00000000" w:rsidDel="00000000" w:rsidP="00000000" w:rsidRDefault="00000000" w:rsidRPr="00000000" w14:paraId="00000015">
      <w:pPr>
        <w:spacing w:line="276" w:lineRule="auto"/>
        <w:ind w:firstLine="720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 Por fim, as caixas são agrupadas e destinadas ao depósito, enquanto uma noticiação é enviada para o setor administrativo, informando que a produção foi concluída.</w:t>
      </w:r>
    </w:p>
    <w:p w:rsidR="00000000" w:rsidDel="00000000" w:rsidP="00000000" w:rsidRDefault="00000000" w:rsidRPr="00000000" w14:paraId="00000017">
      <w:pPr>
        <w:spacing w:line="276" w:lineRule="auto"/>
        <w:ind w:left="0" w:firstLine="0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0" w:firstLine="0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0" w:firstLine="0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0" w:firstLine="0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Espera-se:</w:t>
      </w:r>
    </w:p>
    <w:p w:rsidR="00000000" w:rsidDel="00000000" w:rsidP="00000000" w:rsidRDefault="00000000" w:rsidRPr="00000000" w14:paraId="0000001B">
      <w:pPr>
        <w:spacing w:line="276" w:lineRule="auto"/>
        <w:ind w:left="0" w:firstLine="0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0" w:firstLine="0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Tipos de tarefas</w:t>
      </w:r>
    </w:p>
    <w:p w:rsidR="00000000" w:rsidDel="00000000" w:rsidP="00000000" w:rsidRDefault="00000000" w:rsidRPr="00000000" w14:paraId="0000001D">
      <w:pPr>
        <w:spacing w:line="276" w:lineRule="auto"/>
        <w:ind w:left="0" w:firstLine="0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Tipos de eventos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color w:val="2021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Condicional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color w:val="2021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Tempo</w:t>
      </w:r>
    </w:p>
    <w:p w:rsidR="00000000" w:rsidDel="00000000" w:rsidP="00000000" w:rsidRDefault="00000000" w:rsidRPr="00000000" w14:paraId="00000020">
      <w:pPr>
        <w:spacing w:line="276" w:lineRule="auto"/>
        <w:ind w:left="0" w:firstLine="0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Tipos de gateways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Roboto" w:cs="Roboto" w:eastAsia="Roboto" w:hAnsi="Roboto"/>
          <w:color w:val="2021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Exclusivo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Roboto" w:cs="Roboto" w:eastAsia="Roboto" w:hAnsi="Roboto"/>
          <w:color w:val="2021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Paralelo</w:t>
      </w:r>
    </w:p>
    <w:p w:rsidR="00000000" w:rsidDel="00000000" w:rsidP="00000000" w:rsidRDefault="00000000" w:rsidRPr="00000000" w14:paraId="00000023">
      <w:pPr>
        <w:spacing w:line="276" w:lineRule="auto"/>
        <w:ind w:left="0" w:firstLine="0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Piscina do Processo de produção: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Roboto" w:cs="Roboto" w:eastAsia="Roboto" w:hAnsi="Roboto"/>
          <w:color w:val="2021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Administração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Roboto" w:cs="Roboto" w:eastAsia="Roboto" w:hAnsi="Roboto"/>
          <w:color w:val="2021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Design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Roboto" w:cs="Roboto" w:eastAsia="Roboto" w:hAnsi="Roboto"/>
          <w:color w:val="2021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Sopro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Roboto" w:cs="Roboto" w:eastAsia="Roboto" w:hAnsi="Roboto"/>
          <w:color w:val="2021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Injeção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Roboto" w:cs="Roboto" w:eastAsia="Roboto" w:hAnsi="Roboto"/>
          <w:color w:val="2021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Operário</w:t>
      </w:r>
    </w:p>
    <w:p w:rsidR="00000000" w:rsidDel="00000000" w:rsidP="00000000" w:rsidRDefault="00000000" w:rsidRPr="00000000" w14:paraId="00000029">
      <w:pPr>
        <w:spacing w:line="276" w:lineRule="auto"/>
        <w:ind w:left="0" w:firstLine="0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Piscina do Processo de solicitação: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Roboto" w:cs="Roboto" w:eastAsia="Roboto" w:hAnsi="Roboto"/>
          <w:color w:val="2021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Cliente</w:t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Artefatos</w:t>
      </w:r>
    </w:p>
    <w:p w:rsidR="00000000" w:rsidDel="00000000" w:rsidP="00000000" w:rsidRDefault="00000000" w:rsidRPr="00000000" w14:paraId="0000002C">
      <w:pPr>
        <w:spacing w:line="276" w:lineRule="auto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Evento de borda</w:t>
      </w:r>
    </w:p>
    <w:p w:rsidR="00000000" w:rsidDel="00000000" w:rsidP="00000000" w:rsidRDefault="00000000" w:rsidRPr="00000000" w14:paraId="0000002D">
      <w:pPr>
        <w:spacing w:line="276" w:lineRule="auto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Subprocessos</w:t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